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89" w:rsidRDefault="004D5B89" w:rsidP="004D5B89">
      <w:pPr>
        <w:suppressAutoHyphens/>
        <w:rPr>
          <w:rFonts w:ascii="Garamond" w:hAnsi="Garamond"/>
        </w:rPr>
      </w:pPr>
      <w:r>
        <w:rPr>
          <w:rFonts w:ascii="Garamond" w:hAnsi="Garamond"/>
        </w:rPr>
        <w:t>March 7, 2013</w:t>
      </w:r>
    </w:p>
    <w:p w:rsidR="004D5B89" w:rsidRDefault="004D5B89" w:rsidP="004D5B89">
      <w:pPr>
        <w:rPr>
          <w:rFonts w:ascii="Garamond" w:hAnsi="Garamond"/>
          <w:b/>
        </w:rPr>
      </w:pPr>
    </w:p>
    <w:p w:rsidR="004D5B89" w:rsidRDefault="004D5B89" w:rsidP="004D5B89">
      <w:pPr>
        <w:rPr>
          <w:rFonts w:ascii="Garamond" w:hAnsi="Garamond"/>
          <w:b/>
        </w:rPr>
      </w:pPr>
    </w:p>
    <w:p w:rsidR="004D5B89" w:rsidRDefault="004D5B89" w:rsidP="004D5B89">
      <w:pPr>
        <w:rPr>
          <w:rFonts w:ascii="Garamond" w:hAnsi="Garamond"/>
          <w:b/>
        </w:rPr>
      </w:pPr>
    </w:p>
    <w:p w:rsidR="004D5B89" w:rsidRDefault="004D5B89" w:rsidP="004D5B89">
      <w:pPr>
        <w:pStyle w:val="Heading7"/>
        <w:widowControl/>
        <w:numPr>
          <w:ilvl w:val="0"/>
          <w:numId w:val="0"/>
        </w:numPr>
        <w:tabs>
          <w:tab w:val="left" w:pos="720"/>
        </w:tabs>
        <w:spacing w:before="0" w:after="0"/>
        <w:rPr>
          <w:rFonts w:ascii="Garamond" w:hAnsi="Garamond"/>
          <w:b w:val="0"/>
        </w:rPr>
      </w:pPr>
      <w:r>
        <w:rPr>
          <w:rFonts w:ascii="Garamond" w:hAnsi="Garamond"/>
        </w:rPr>
        <w:t>TO:</w:t>
      </w:r>
      <w:r>
        <w:rPr>
          <w:rFonts w:ascii="Garamond" w:hAnsi="Garamond"/>
        </w:rPr>
        <w:tab/>
      </w:r>
      <w:r>
        <w:rPr>
          <w:rFonts w:ascii="Garamond" w:hAnsi="Garamond"/>
        </w:rPr>
        <w:tab/>
        <w:t>U.S. Environmental Protection Agency, Region 10</w:t>
      </w:r>
    </w:p>
    <w:p w:rsidR="004D5B89" w:rsidRDefault="004D5B89" w:rsidP="004D5B89">
      <w:pPr>
        <w:rPr>
          <w:rFonts w:ascii="Garamond" w:hAnsi="Garamond"/>
        </w:rPr>
      </w:pPr>
    </w:p>
    <w:p w:rsidR="004D5B89" w:rsidRDefault="004D5B89" w:rsidP="004D5B89">
      <w:pPr>
        <w:tabs>
          <w:tab w:val="left" w:pos="720"/>
          <w:tab w:val="left" w:pos="1440"/>
          <w:tab w:val="left" w:pos="2160"/>
          <w:tab w:val="left" w:pos="2880"/>
          <w:tab w:val="left" w:pos="3600"/>
          <w:tab w:val="left" w:pos="4320"/>
          <w:tab w:val="left" w:pos="5040"/>
          <w:tab w:val="left" w:pos="5760"/>
          <w:tab w:val="left" w:pos="7020"/>
        </w:tabs>
        <w:rPr>
          <w:rFonts w:ascii="Garamond" w:hAnsi="Garamond"/>
        </w:rPr>
      </w:pPr>
      <w:r>
        <w:rPr>
          <w:rFonts w:ascii="Garamond" w:hAnsi="Garamond"/>
          <w:b/>
        </w:rPr>
        <w:t>FROM:</w:t>
      </w:r>
      <w:r>
        <w:rPr>
          <w:rFonts w:ascii="Garamond" w:hAnsi="Garamond"/>
        </w:rPr>
        <w:tab/>
        <w:t xml:space="preserve">Willamette Partnership (WP) &amp; </w:t>
      </w:r>
      <w:proofErr w:type="gramStart"/>
      <w:r>
        <w:rPr>
          <w:rFonts w:ascii="Garamond" w:hAnsi="Garamond"/>
        </w:rPr>
        <w:t>The</w:t>
      </w:r>
      <w:proofErr w:type="gramEnd"/>
      <w:r>
        <w:rPr>
          <w:rFonts w:ascii="Garamond" w:hAnsi="Garamond"/>
        </w:rPr>
        <w:t xml:space="preserve"> Freshwater Trust (TFT)</w:t>
      </w:r>
      <w:r>
        <w:rPr>
          <w:rFonts w:ascii="Garamond" w:hAnsi="Garamond"/>
        </w:rPr>
        <w:tab/>
      </w:r>
    </w:p>
    <w:p w:rsidR="004D5B89" w:rsidRDefault="004D5B89" w:rsidP="004D5B89">
      <w:pPr>
        <w:ind w:left="1440" w:hanging="1440"/>
        <w:rPr>
          <w:rFonts w:ascii="Garamond" w:hAnsi="Garamond"/>
          <w:b/>
        </w:rPr>
      </w:pPr>
    </w:p>
    <w:p w:rsidR="004D5B89" w:rsidRDefault="004D5B89" w:rsidP="004D5B89">
      <w:pPr>
        <w:ind w:left="1440" w:hanging="1440"/>
        <w:rPr>
          <w:rFonts w:ascii="Garamond" w:hAnsi="Garamond"/>
        </w:rPr>
      </w:pPr>
      <w:r>
        <w:rPr>
          <w:rFonts w:ascii="Garamond" w:hAnsi="Garamond"/>
          <w:b/>
        </w:rPr>
        <w:t>SUBJECT:</w:t>
      </w:r>
      <w:r>
        <w:rPr>
          <w:rFonts w:ascii="Garamond" w:hAnsi="Garamond"/>
        </w:rPr>
        <w:tab/>
        <w:t>Joint Regional Agreement – January 17, 2013 Meeting Summary</w:t>
      </w:r>
    </w:p>
    <w:p w:rsidR="004D5B89" w:rsidRDefault="004D5B89" w:rsidP="004D5B89">
      <w:pPr>
        <w:pBdr>
          <w:top w:val="single" w:sz="4" w:space="1" w:color="auto"/>
        </w:pBdr>
        <w:rPr>
          <w:rFonts w:ascii="Garamond" w:hAnsi="Garamond"/>
        </w:rPr>
      </w:pPr>
    </w:p>
    <w:p w:rsidR="004D5B89" w:rsidRDefault="004D5B89" w:rsidP="004D5B89">
      <w:pPr>
        <w:jc w:val="both"/>
        <w:rPr>
          <w:rFonts w:ascii="Garamond" w:hAnsi="Garamond"/>
        </w:rPr>
      </w:pPr>
      <w:r>
        <w:rPr>
          <w:rFonts w:ascii="Garamond" w:hAnsi="Garamond"/>
        </w:rPr>
        <w:t>Thank you for your participation and efforts at the Water Quality Trading Joint Regional Agreement convening interview meeting held January 17, 2013 at the EPA Region 10 office in Seattle, Washington.  This memo includes the upcoming meeting dates, agreed-upon action items, a list of documents provided at this meeting, and a brief synopsis of the meeting.</w:t>
      </w:r>
    </w:p>
    <w:p w:rsidR="004D5B89" w:rsidRDefault="004D5B89" w:rsidP="004D5B89">
      <w:pPr>
        <w:rPr>
          <w:rFonts w:ascii="Garamond" w:hAnsi="Garamond"/>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3602"/>
        <w:gridCol w:w="2903"/>
      </w:tblGrid>
      <w:tr w:rsidR="004D5B89" w:rsidTr="004D5B89">
        <w:trPr>
          <w:trHeight w:val="275"/>
        </w:trPr>
        <w:tc>
          <w:tcPr>
            <w:tcW w:w="3438" w:type="dxa"/>
            <w:tcBorders>
              <w:top w:val="single" w:sz="4" w:space="0" w:color="auto"/>
              <w:left w:val="single" w:sz="4" w:space="0" w:color="auto"/>
              <w:bottom w:val="single" w:sz="4" w:space="0" w:color="auto"/>
              <w:right w:val="single" w:sz="4" w:space="0" w:color="auto"/>
            </w:tcBorders>
            <w:shd w:val="pct20" w:color="auto" w:fill="FFFFFF"/>
            <w:hideMark/>
          </w:tcPr>
          <w:p w:rsidR="004D5B89" w:rsidRDefault="004D5B89">
            <w:pPr>
              <w:pStyle w:val="BodyText3"/>
              <w:rPr>
                <w:rFonts w:ascii="Garamond" w:hAnsi="Garamond"/>
                <w:szCs w:val="24"/>
              </w:rPr>
            </w:pPr>
            <w:r>
              <w:rPr>
                <w:rFonts w:ascii="Garamond" w:hAnsi="Garamond"/>
                <w:szCs w:val="24"/>
              </w:rPr>
              <w:t>Upcoming Meeting Dates</w:t>
            </w:r>
          </w:p>
        </w:tc>
        <w:tc>
          <w:tcPr>
            <w:tcW w:w="3600" w:type="dxa"/>
            <w:tcBorders>
              <w:top w:val="single" w:sz="4" w:space="0" w:color="auto"/>
              <w:left w:val="single" w:sz="4" w:space="0" w:color="auto"/>
              <w:bottom w:val="single" w:sz="4" w:space="0" w:color="auto"/>
              <w:right w:val="single" w:sz="4" w:space="0" w:color="auto"/>
            </w:tcBorders>
            <w:shd w:val="pct20" w:color="auto" w:fill="FFFFFF"/>
            <w:hideMark/>
          </w:tcPr>
          <w:p w:rsidR="004D5B89" w:rsidRDefault="004D5B89">
            <w:pPr>
              <w:pStyle w:val="BodyText3"/>
              <w:rPr>
                <w:rFonts w:ascii="Garamond" w:hAnsi="Garamond"/>
                <w:szCs w:val="24"/>
              </w:rPr>
            </w:pPr>
            <w:r>
              <w:rPr>
                <w:rFonts w:ascii="Garamond" w:hAnsi="Garamond"/>
                <w:szCs w:val="24"/>
              </w:rPr>
              <w:t>Who</w:t>
            </w:r>
          </w:p>
        </w:tc>
        <w:tc>
          <w:tcPr>
            <w:tcW w:w="2901" w:type="dxa"/>
            <w:tcBorders>
              <w:top w:val="single" w:sz="4" w:space="0" w:color="auto"/>
              <w:left w:val="single" w:sz="4" w:space="0" w:color="auto"/>
              <w:bottom w:val="single" w:sz="4" w:space="0" w:color="auto"/>
              <w:right w:val="single" w:sz="4" w:space="0" w:color="auto"/>
            </w:tcBorders>
            <w:shd w:val="pct20" w:color="auto" w:fill="FFFFFF"/>
            <w:hideMark/>
          </w:tcPr>
          <w:p w:rsidR="004D5B89" w:rsidRDefault="004D5B89">
            <w:pPr>
              <w:pStyle w:val="BodyText3"/>
              <w:rPr>
                <w:rFonts w:ascii="Garamond" w:hAnsi="Garamond"/>
                <w:szCs w:val="24"/>
              </w:rPr>
            </w:pPr>
            <w:r>
              <w:rPr>
                <w:rFonts w:ascii="Garamond" w:hAnsi="Garamond"/>
                <w:szCs w:val="24"/>
              </w:rPr>
              <w:t>Location</w:t>
            </w:r>
          </w:p>
        </w:tc>
      </w:tr>
      <w:tr w:rsidR="004D5B89" w:rsidTr="004D5B89">
        <w:trPr>
          <w:trHeight w:val="1079"/>
        </w:trPr>
        <w:tc>
          <w:tcPr>
            <w:tcW w:w="3438" w:type="dxa"/>
            <w:tcBorders>
              <w:top w:val="single" w:sz="4" w:space="0" w:color="auto"/>
              <w:left w:val="single" w:sz="4" w:space="0" w:color="auto"/>
              <w:bottom w:val="single" w:sz="4" w:space="0" w:color="auto"/>
              <w:right w:val="single" w:sz="4" w:space="0" w:color="auto"/>
            </w:tcBorders>
          </w:tcPr>
          <w:p w:rsidR="004D5B89" w:rsidRDefault="004D5B89">
            <w:pPr>
              <w:numPr>
                <w:ilvl w:val="0"/>
                <w:numId w:val="2"/>
              </w:numPr>
              <w:rPr>
                <w:rFonts w:ascii="Garamond" w:hAnsi="Garamond"/>
                <w:u w:val="single"/>
              </w:rPr>
            </w:pPr>
            <w:r>
              <w:rPr>
                <w:rFonts w:ascii="Garamond" w:hAnsi="Garamond"/>
                <w:u w:val="single"/>
              </w:rPr>
              <w:t>March 18, 2013</w:t>
            </w:r>
          </w:p>
          <w:p w:rsidR="004D5B89" w:rsidRDefault="004D5B89">
            <w:pPr>
              <w:ind w:left="360"/>
              <w:rPr>
                <w:rFonts w:ascii="Garamond" w:hAnsi="Garamond"/>
              </w:rPr>
            </w:pPr>
            <w:r>
              <w:rPr>
                <w:rFonts w:ascii="Garamond" w:hAnsi="Garamond"/>
              </w:rPr>
              <w:t>1:30 pm – 4:30 pm</w:t>
            </w:r>
          </w:p>
          <w:p w:rsidR="004D5B89" w:rsidRDefault="004D5B89">
            <w:pPr>
              <w:ind w:left="360"/>
              <w:rPr>
                <w:rFonts w:ascii="Garamond" w:hAnsi="Garamond"/>
                <w:u w:val="single"/>
              </w:rPr>
            </w:pPr>
          </w:p>
          <w:p w:rsidR="004D5B89" w:rsidRDefault="004D5B89">
            <w:pPr>
              <w:numPr>
                <w:ilvl w:val="0"/>
                <w:numId w:val="3"/>
              </w:numPr>
              <w:rPr>
                <w:rFonts w:ascii="Garamond" w:hAnsi="Garamond"/>
                <w:u w:val="single"/>
              </w:rPr>
            </w:pPr>
            <w:r>
              <w:rPr>
                <w:rFonts w:ascii="Garamond" w:hAnsi="Garamond"/>
                <w:u w:val="single"/>
              </w:rPr>
              <w:t xml:space="preserve">April 9-10, 2013 </w:t>
            </w:r>
          </w:p>
          <w:p w:rsidR="004D5B89" w:rsidRDefault="004D5B89">
            <w:pPr>
              <w:pStyle w:val="Header"/>
              <w:tabs>
                <w:tab w:val="left" w:pos="720"/>
              </w:tabs>
              <w:ind w:left="360"/>
              <w:rPr>
                <w:rFonts w:ascii="Garamond" w:hAnsi="Garamond"/>
              </w:rPr>
            </w:pPr>
            <w:r>
              <w:rPr>
                <w:rFonts w:ascii="Garamond" w:hAnsi="Garamond"/>
              </w:rPr>
              <w:t>10:00 am – 5:00 pm (4/9/13)</w:t>
            </w:r>
          </w:p>
          <w:p w:rsidR="004D5B89" w:rsidRDefault="004D5B89">
            <w:pPr>
              <w:pStyle w:val="Header"/>
              <w:tabs>
                <w:tab w:val="left" w:pos="720"/>
              </w:tabs>
              <w:ind w:left="360"/>
              <w:rPr>
                <w:rFonts w:ascii="Garamond" w:hAnsi="Garamond"/>
              </w:rPr>
            </w:pPr>
            <w:r>
              <w:rPr>
                <w:rFonts w:ascii="Garamond" w:hAnsi="Garamond"/>
              </w:rPr>
              <w:t>8:00 am – 3:00 pm (4/10/13)</w:t>
            </w:r>
          </w:p>
        </w:tc>
        <w:tc>
          <w:tcPr>
            <w:tcW w:w="3600" w:type="dxa"/>
            <w:tcBorders>
              <w:top w:val="single" w:sz="4" w:space="0" w:color="auto"/>
              <w:left w:val="single" w:sz="4" w:space="0" w:color="auto"/>
              <w:bottom w:val="single" w:sz="4" w:space="0" w:color="auto"/>
              <w:right w:val="single" w:sz="4" w:space="0" w:color="auto"/>
            </w:tcBorders>
          </w:tcPr>
          <w:p w:rsidR="004D5B89" w:rsidRDefault="004D5B89">
            <w:pPr>
              <w:pStyle w:val="BodyText3"/>
              <w:rPr>
                <w:rFonts w:ascii="Garamond" w:hAnsi="Garamond"/>
                <w:b w:val="0"/>
                <w:szCs w:val="24"/>
              </w:rPr>
            </w:pPr>
            <w:r>
              <w:rPr>
                <w:rFonts w:ascii="Garamond" w:hAnsi="Garamond"/>
                <w:b w:val="0"/>
              </w:rPr>
              <w:t>Review Medford permit/TMDL/ fact sheet/management plan</w:t>
            </w:r>
          </w:p>
          <w:p w:rsidR="004D5B89" w:rsidRDefault="004D5B89">
            <w:pPr>
              <w:pStyle w:val="BodyText3"/>
              <w:rPr>
                <w:rFonts w:ascii="Garamond" w:hAnsi="Garamond"/>
                <w:b w:val="0"/>
                <w:szCs w:val="24"/>
              </w:rPr>
            </w:pPr>
          </w:p>
          <w:p w:rsidR="004D5B89" w:rsidRDefault="004D5B89">
            <w:pPr>
              <w:pStyle w:val="BodyText3"/>
              <w:rPr>
                <w:rFonts w:ascii="Garamond" w:hAnsi="Garamond"/>
                <w:b w:val="0"/>
                <w:szCs w:val="24"/>
              </w:rPr>
            </w:pPr>
            <w:r>
              <w:rPr>
                <w:rFonts w:ascii="Garamond" w:hAnsi="Garamond"/>
                <w:b w:val="0"/>
                <w:szCs w:val="24"/>
              </w:rPr>
              <w:t xml:space="preserve">Inter-agency work group session </w:t>
            </w:r>
          </w:p>
        </w:tc>
        <w:tc>
          <w:tcPr>
            <w:tcW w:w="2901" w:type="dxa"/>
            <w:tcBorders>
              <w:top w:val="single" w:sz="4" w:space="0" w:color="auto"/>
              <w:left w:val="single" w:sz="4" w:space="0" w:color="auto"/>
              <w:bottom w:val="single" w:sz="4" w:space="0" w:color="auto"/>
              <w:right w:val="single" w:sz="4" w:space="0" w:color="auto"/>
            </w:tcBorders>
          </w:tcPr>
          <w:p w:rsidR="004D5B89" w:rsidRDefault="004D5B89">
            <w:pPr>
              <w:pStyle w:val="BodyText3"/>
              <w:rPr>
                <w:rFonts w:ascii="Garamond" w:hAnsi="Garamond"/>
                <w:b w:val="0"/>
                <w:szCs w:val="24"/>
              </w:rPr>
            </w:pPr>
            <w:r>
              <w:rPr>
                <w:rFonts w:ascii="Garamond" w:hAnsi="Garamond"/>
                <w:b w:val="0"/>
                <w:szCs w:val="24"/>
              </w:rPr>
              <w:t>EPA R10 (Seattle)</w:t>
            </w:r>
          </w:p>
          <w:p w:rsidR="004D5B89" w:rsidRDefault="004D5B89">
            <w:pPr>
              <w:pStyle w:val="BodyText3"/>
              <w:rPr>
                <w:rFonts w:ascii="Garamond" w:hAnsi="Garamond"/>
                <w:b w:val="0"/>
                <w:szCs w:val="24"/>
              </w:rPr>
            </w:pPr>
          </w:p>
          <w:p w:rsidR="004D5B89" w:rsidRDefault="004D5B89">
            <w:pPr>
              <w:pStyle w:val="BodyText3"/>
              <w:rPr>
                <w:rFonts w:ascii="Garamond" w:hAnsi="Garamond"/>
                <w:b w:val="0"/>
                <w:szCs w:val="24"/>
              </w:rPr>
            </w:pPr>
          </w:p>
          <w:p w:rsidR="004D5B89" w:rsidRDefault="004D5B89">
            <w:pPr>
              <w:pStyle w:val="BodyText3"/>
              <w:rPr>
                <w:rFonts w:ascii="Garamond" w:hAnsi="Garamond"/>
                <w:b w:val="0"/>
                <w:szCs w:val="24"/>
              </w:rPr>
            </w:pPr>
            <w:proofErr w:type="spellStart"/>
            <w:r>
              <w:rPr>
                <w:rFonts w:ascii="Garamond" w:hAnsi="Garamond"/>
                <w:b w:val="0"/>
                <w:szCs w:val="24"/>
              </w:rPr>
              <w:t>Alderbrook</w:t>
            </w:r>
            <w:proofErr w:type="spellEnd"/>
            <w:r>
              <w:rPr>
                <w:rFonts w:ascii="Garamond" w:hAnsi="Garamond"/>
                <w:b w:val="0"/>
                <w:szCs w:val="24"/>
              </w:rPr>
              <w:t xml:space="preserve"> Resort</w:t>
            </w:r>
          </w:p>
          <w:p w:rsidR="004D5B89" w:rsidRDefault="004D5B89">
            <w:pPr>
              <w:pStyle w:val="BodyText3"/>
              <w:rPr>
                <w:rFonts w:ascii="Garamond" w:hAnsi="Garamond"/>
                <w:b w:val="0"/>
                <w:szCs w:val="24"/>
              </w:rPr>
            </w:pPr>
            <w:r>
              <w:rPr>
                <w:rFonts w:ascii="Garamond" w:hAnsi="Garamond"/>
                <w:b w:val="0"/>
                <w:szCs w:val="24"/>
              </w:rPr>
              <w:t>7101 E State Highway 106 Union, Washington 98592</w:t>
            </w:r>
          </w:p>
        </w:tc>
      </w:tr>
    </w:tbl>
    <w:p w:rsidR="004D5B89" w:rsidRDefault="004D5B89" w:rsidP="004D5B89">
      <w:pPr>
        <w:rPr>
          <w:rFonts w:ascii="Garamond" w:hAnsi="Garamond"/>
        </w:rPr>
      </w:pPr>
    </w:p>
    <w:tbl>
      <w:tblPr>
        <w:tblW w:w="995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2634"/>
        <w:gridCol w:w="2730"/>
      </w:tblGrid>
      <w:tr w:rsidR="004D5B89" w:rsidTr="004D5B89">
        <w:trPr>
          <w:tblHeader/>
        </w:trPr>
        <w:tc>
          <w:tcPr>
            <w:tcW w:w="4589" w:type="dxa"/>
            <w:tcBorders>
              <w:top w:val="single" w:sz="4" w:space="0" w:color="000000"/>
              <w:left w:val="single" w:sz="4" w:space="0" w:color="000000"/>
              <w:bottom w:val="single" w:sz="4" w:space="0" w:color="000000"/>
              <w:right w:val="single" w:sz="4" w:space="0" w:color="000000"/>
            </w:tcBorders>
            <w:shd w:val="clear" w:color="auto" w:fill="BFBFBF"/>
            <w:hideMark/>
          </w:tcPr>
          <w:p w:rsidR="004D5B89" w:rsidRDefault="004D5B89">
            <w:pPr>
              <w:rPr>
                <w:rFonts w:ascii="Garamond" w:hAnsi="Garamond"/>
                <w:b/>
              </w:rPr>
            </w:pPr>
            <w:r>
              <w:rPr>
                <w:rFonts w:ascii="Garamond" w:hAnsi="Garamond"/>
                <w:b/>
              </w:rPr>
              <w:t xml:space="preserve">Action Items </w:t>
            </w:r>
          </w:p>
        </w:tc>
        <w:tc>
          <w:tcPr>
            <w:tcW w:w="2634" w:type="dxa"/>
            <w:tcBorders>
              <w:top w:val="single" w:sz="4" w:space="0" w:color="000000"/>
              <w:left w:val="single" w:sz="4" w:space="0" w:color="000000"/>
              <w:bottom w:val="single" w:sz="4" w:space="0" w:color="000000"/>
              <w:right w:val="single" w:sz="4" w:space="0" w:color="000000"/>
            </w:tcBorders>
            <w:shd w:val="clear" w:color="auto" w:fill="BFBFBF"/>
            <w:hideMark/>
          </w:tcPr>
          <w:p w:rsidR="004D5B89" w:rsidRDefault="004D5B89">
            <w:pPr>
              <w:rPr>
                <w:rFonts w:ascii="Garamond" w:hAnsi="Garamond"/>
                <w:b/>
              </w:rPr>
            </w:pPr>
            <w:r>
              <w:rPr>
                <w:rFonts w:ascii="Garamond" w:hAnsi="Garamond"/>
                <w:b/>
              </w:rPr>
              <w:t xml:space="preserve">Who </w:t>
            </w:r>
          </w:p>
        </w:tc>
        <w:tc>
          <w:tcPr>
            <w:tcW w:w="2730" w:type="dxa"/>
            <w:tcBorders>
              <w:top w:val="single" w:sz="4" w:space="0" w:color="000000"/>
              <w:left w:val="single" w:sz="4" w:space="0" w:color="000000"/>
              <w:bottom w:val="single" w:sz="4" w:space="0" w:color="000000"/>
              <w:right w:val="single" w:sz="4" w:space="0" w:color="000000"/>
            </w:tcBorders>
            <w:shd w:val="clear" w:color="auto" w:fill="BFBFBF"/>
            <w:hideMark/>
          </w:tcPr>
          <w:p w:rsidR="004D5B89" w:rsidRDefault="004D5B89">
            <w:pPr>
              <w:rPr>
                <w:rFonts w:ascii="Garamond" w:hAnsi="Garamond"/>
                <w:b/>
              </w:rPr>
            </w:pPr>
            <w:r>
              <w:rPr>
                <w:rFonts w:ascii="Garamond" w:hAnsi="Garamond"/>
                <w:b/>
              </w:rPr>
              <w:t>When</w:t>
            </w:r>
          </w:p>
        </w:tc>
      </w:tr>
      <w:tr w:rsidR="004D5B89" w:rsidTr="004D5B89">
        <w:tc>
          <w:tcPr>
            <w:tcW w:w="4589" w:type="dxa"/>
            <w:tcBorders>
              <w:top w:val="single" w:sz="4" w:space="0" w:color="000000"/>
              <w:left w:val="single" w:sz="4" w:space="0" w:color="000000"/>
              <w:bottom w:val="single" w:sz="4" w:space="0" w:color="000000"/>
              <w:right w:val="single" w:sz="4" w:space="0" w:color="000000"/>
            </w:tcBorders>
            <w:hideMark/>
          </w:tcPr>
          <w:p w:rsidR="004D5B89" w:rsidRDefault="004D5B89">
            <w:pPr>
              <w:pStyle w:val="Header"/>
              <w:numPr>
                <w:ilvl w:val="0"/>
                <w:numId w:val="4"/>
              </w:numPr>
              <w:rPr>
                <w:rFonts w:ascii="Garamond" w:hAnsi="Garamond"/>
                <w:u w:val="single"/>
              </w:rPr>
            </w:pPr>
            <w:r>
              <w:rPr>
                <w:rFonts w:ascii="Garamond" w:hAnsi="Garamond"/>
                <w:u w:val="single"/>
              </w:rPr>
              <w:t>Authorities</w:t>
            </w:r>
          </w:p>
          <w:p w:rsidR="004D5B89" w:rsidRDefault="004D5B89">
            <w:pPr>
              <w:numPr>
                <w:ilvl w:val="0"/>
                <w:numId w:val="3"/>
              </w:numPr>
              <w:rPr>
                <w:rFonts w:ascii="Garamond" w:hAnsi="Garamond"/>
              </w:rPr>
            </w:pPr>
            <w:r>
              <w:rPr>
                <w:rFonts w:ascii="Garamond" w:hAnsi="Garamond"/>
              </w:rPr>
              <w:t>Coordinate with EPA R10 OGC on legal authorities section of JRA</w:t>
            </w:r>
          </w:p>
        </w:tc>
        <w:tc>
          <w:tcPr>
            <w:tcW w:w="2634" w:type="dxa"/>
            <w:tcBorders>
              <w:top w:val="single" w:sz="4" w:space="0" w:color="000000"/>
              <w:left w:val="single" w:sz="4" w:space="0" w:color="000000"/>
              <w:bottom w:val="single" w:sz="4" w:space="0" w:color="000000"/>
              <w:right w:val="single" w:sz="4" w:space="0" w:color="000000"/>
            </w:tcBorders>
          </w:tcPr>
          <w:p w:rsidR="004D5B89" w:rsidRDefault="004D5B89">
            <w:pPr>
              <w:rPr>
                <w:rFonts w:ascii="Garamond" w:hAnsi="Garamond"/>
              </w:rPr>
            </w:pPr>
          </w:p>
          <w:p w:rsidR="004D5B89" w:rsidRDefault="004D5B89">
            <w:pPr>
              <w:rPr>
                <w:rFonts w:ascii="Garamond" w:hAnsi="Garamond"/>
              </w:rPr>
            </w:pPr>
            <w:r>
              <w:rPr>
                <w:rFonts w:ascii="Garamond" w:hAnsi="Garamond"/>
              </w:rPr>
              <w:t xml:space="preserve">Joe </w:t>
            </w:r>
            <w:proofErr w:type="spellStart"/>
            <w:r>
              <w:rPr>
                <w:rFonts w:ascii="Garamond" w:hAnsi="Garamond"/>
              </w:rPr>
              <w:t>Furia</w:t>
            </w:r>
            <w:proofErr w:type="spellEnd"/>
          </w:p>
        </w:tc>
        <w:tc>
          <w:tcPr>
            <w:tcW w:w="2730" w:type="dxa"/>
            <w:tcBorders>
              <w:top w:val="single" w:sz="4" w:space="0" w:color="000000"/>
              <w:left w:val="single" w:sz="4" w:space="0" w:color="000000"/>
              <w:bottom w:val="single" w:sz="4" w:space="0" w:color="000000"/>
              <w:right w:val="single" w:sz="4" w:space="0" w:color="000000"/>
            </w:tcBorders>
          </w:tcPr>
          <w:p w:rsidR="004D5B89" w:rsidRDefault="004D5B89">
            <w:pPr>
              <w:pStyle w:val="BodyText3"/>
              <w:rPr>
                <w:rFonts w:ascii="Garamond" w:hAnsi="Garamond"/>
                <w:b w:val="0"/>
                <w:szCs w:val="24"/>
              </w:rPr>
            </w:pPr>
          </w:p>
          <w:p w:rsidR="004D5B89" w:rsidRDefault="004D5B89">
            <w:pPr>
              <w:pStyle w:val="BodyText3"/>
              <w:rPr>
                <w:rFonts w:ascii="Garamond" w:hAnsi="Garamond"/>
                <w:b w:val="0"/>
                <w:szCs w:val="24"/>
              </w:rPr>
            </w:pPr>
            <w:r>
              <w:rPr>
                <w:rFonts w:ascii="Garamond" w:hAnsi="Garamond"/>
                <w:b w:val="0"/>
                <w:szCs w:val="24"/>
              </w:rPr>
              <w:t>2/2013 – 3/2013</w:t>
            </w:r>
          </w:p>
        </w:tc>
      </w:tr>
      <w:tr w:rsidR="004D5B89" w:rsidTr="004D5B89">
        <w:tc>
          <w:tcPr>
            <w:tcW w:w="4589" w:type="dxa"/>
            <w:tcBorders>
              <w:top w:val="single" w:sz="4" w:space="0" w:color="000000"/>
              <w:left w:val="single" w:sz="4" w:space="0" w:color="000000"/>
              <w:bottom w:val="single" w:sz="4" w:space="0" w:color="000000"/>
              <w:right w:val="single" w:sz="4" w:space="0" w:color="000000"/>
            </w:tcBorders>
            <w:hideMark/>
          </w:tcPr>
          <w:p w:rsidR="004D5B89" w:rsidRDefault="004D5B89">
            <w:pPr>
              <w:pStyle w:val="Header"/>
              <w:numPr>
                <w:ilvl w:val="0"/>
                <w:numId w:val="4"/>
              </w:numPr>
              <w:rPr>
                <w:rFonts w:ascii="Garamond" w:hAnsi="Garamond"/>
              </w:rPr>
            </w:pPr>
            <w:r>
              <w:rPr>
                <w:rFonts w:ascii="Garamond" w:hAnsi="Garamond"/>
                <w:u w:val="single"/>
              </w:rPr>
              <w:t>Pilot Projects</w:t>
            </w:r>
          </w:p>
          <w:p w:rsidR="004D5B89" w:rsidRDefault="004D5B89">
            <w:pPr>
              <w:pStyle w:val="ListParagraph"/>
              <w:numPr>
                <w:ilvl w:val="0"/>
                <w:numId w:val="5"/>
              </w:numPr>
              <w:contextualSpacing/>
              <w:rPr>
                <w:rFonts w:ascii="Garamond" w:hAnsi="Garamond"/>
              </w:rPr>
            </w:pPr>
            <w:r>
              <w:rPr>
                <w:rFonts w:ascii="Garamond" w:hAnsi="Garamond"/>
              </w:rPr>
              <w:t>Assess potential pilot projects in Yakima-Toppenish, Boise, Snohomish and Olympia (forestry)</w:t>
            </w:r>
          </w:p>
        </w:tc>
        <w:tc>
          <w:tcPr>
            <w:tcW w:w="2634" w:type="dxa"/>
            <w:tcBorders>
              <w:top w:val="single" w:sz="4" w:space="0" w:color="000000"/>
              <w:left w:val="single" w:sz="4" w:space="0" w:color="000000"/>
              <w:bottom w:val="single" w:sz="4" w:space="0" w:color="000000"/>
              <w:right w:val="single" w:sz="4" w:space="0" w:color="000000"/>
            </w:tcBorders>
          </w:tcPr>
          <w:p w:rsidR="004D5B89" w:rsidRDefault="004D5B89">
            <w:pPr>
              <w:rPr>
                <w:rFonts w:ascii="Garamond" w:hAnsi="Garamond"/>
              </w:rPr>
            </w:pPr>
          </w:p>
          <w:p w:rsidR="004D5B89" w:rsidRDefault="004D5B89">
            <w:pPr>
              <w:rPr>
                <w:rFonts w:ascii="Garamond" w:hAnsi="Garamond"/>
              </w:rPr>
            </w:pPr>
            <w:r>
              <w:rPr>
                <w:rFonts w:ascii="Garamond" w:hAnsi="Garamond"/>
              </w:rPr>
              <w:t xml:space="preserve">Bobby Cochran/Neil </w:t>
            </w:r>
            <w:proofErr w:type="spellStart"/>
            <w:r>
              <w:rPr>
                <w:rFonts w:ascii="Garamond" w:hAnsi="Garamond"/>
              </w:rPr>
              <w:t>Mullane</w:t>
            </w:r>
            <w:proofErr w:type="spellEnd"/>
          </w:p>
        </w:tc>
        <w:tc>
          <w:tcPr>
            <w:tcW w:w="2730" w:type="dxa"/>
            <w:tcBorders>
              <w:top w:val="single" w:sz="4" w:space="0" w:color="000000"/>
              <w:left w:val="single" w:sz="4" w:space="0" w:color="000000"/>
              <w:bottom w:val="single" w:sz="4" w:space="0" w:color="000000"/>
              <w:right w:val="single" w:sz="4" w:space="0" w:color="000000"/>
            </w:tcBorders>
          </w:tcPr>
          <w:p w:rsidR="004D5B89" w:rsidRDefault="004D5B89">
            <w:pPr>
              <w:pStyle w:val="BodyText3"/>
              <w:rPr>
                <w:rFonts w:ascii="Garamond" w:hAnsi="Garamond"/>
                <w:b w:val="0"/>
                <w:szCs w:val="24"/>
              </w:rPr>
            </w:pPr>
          </w:p>
          <w:p w:rsidR="004D5B89" w:rsidRDefault="004D5B89">
            <w:pPr>
              <w:pStyle w:val="BodyText3"/>
              <w:rPr>
                <w:rFonts w:ascii="Garamond" w:hAnsi="Garamond"/>
                <w:b w:val="0"/>
                <w:szCs w:val="24"/>
              </w:rPr>
            </w:pPr>
            <w:r>
              <w:rPr>
                <w:rFonts w:ascii="Garamond" w:hAnsi="Garamond"/>
                <w:b w:val="0"/>
                <w:szCs w:val="24"/>
              </w:rPr>
              <w:t>3/2013 - 12/2013</w:t>
            </w:r>
          </w:p>
          <w:p w:rsidR="004D5B89" w:rsidRDefault="004D5B89">
            <w:pPr>
              <w:pStyle w:val="BodyText3"/>
              <w:rPr>
                <w:rFonts w:ascii="Garamond" w:hAnsi="Garamond"/>
                <w:b w:val="0"/>
                <w:szCs w:val="24"/>
              </w:rPr>
            </w:pPr>
          </w:p>
        </w:tc>
      </w:tr>
      <w:tr w:rsidR="004D5B89" w:rsidTr="004D5B89">
        <w:tc>
          <w:tcPr>
            <w:tcW w:w="4589" w:type="dxa"/>
            <w:tcBorders>
              <w:top w:val="single" w:sz="4" w:space="0" w:color="000000"/>
              <w:left w:val="single" w:sz="4" w:space="0" w:color="000000"/>
              <w:bottom w:val="single" w:sz="4" w:space="0" w:color="000000"/>
              <w:right w:val="single" w:sz="4" w:space="0" w:color="000000"/>
            </w:tcBorders>
            <w:hideMark/>
          </w:tcPr>
          <w:p w:rsidR="004D5B89" w:rsidRDefault="004D5B89">
            <w:pPr>
              <w:pStyle w:val="Header"/>
              <w:numPr>
                <w:ilvl w:val="0"/>
                <w:numId w:val="4"/>
              </w:numPr>
              <w:rPr>
                <w:rFonts w:ascii="Garamond" w:hAnsi="Garamond"/>
                <w:u w:val="single"/>
              </w:rPr>
            </w:pPr>
            <w:r>
              <w:rPr>
                <w:rFonts w:ascii="Garamond" w:hAnsi="Garamond"/>
                <w:u w:val="single"/>
              </w:rPr>
              <w:t>Outreach</w:t>
            </w:r>
          </w:p>
          <w:p w:rsidR="004D5B89" w:rsidRDefault="004D5B89">
            <w:pPr>
              <w:numPr>
                <w:ilvl w:val="0"/>
                <w:numId w:val="3"/>
              </w:numPr>
              <w:rPr>
                <w:rFonts w:ascii="Garamond" w:hAnsi="Garamond"/>
              </w:rPr>
            </w:pPr>
            <w:r>
              <w:rPr>
                <w:rFonts w:ascii="Garamond" w:hAnsi="Garamond"/>
              </w:rPr>
              <w:t>Develop outreach plan</w:t>
            </w:r>
          </w:p>
        </w:tc>
        <w:tc>
          <w:tcPr>
            <w:tcW w:w="2634" w:type="dxa"/>
            <w:tcBorders>
              <w:top w:val="single" w:sz="4" w:space="0" w:color="000000"/>
              <w:left w:val="single" w:sz="4" w:space="0" w:color="000000"/>
              <w:bottom w:val="single" w:sz="4" w:space="0" w:color="000000"/>
              <w:right w:val="single" w:sz="4" w:space="0" w:color="000000"/>
            </w:tcBorders>
          </w:tcPr>
          <w:p w:rsidR="004D5B89" w:rsidRDefault="004D5B89">
            <w:pPr>
              <w:rPr>
                <w:rFonts w:ascii="Garamond" w:hAnsi="Garamond"/>
              </w:rPr>
            </w:pPr>
          </w:p>
          <w:p w:rsidR="004D5B89" w:rsidRDefault="004D5B89">
            <w:pPr>
              <w:rPr>
                <w:rFonts w:ascii="Garamond" w:hAnsi="Garamond"/>
              </w:rPr>
            </w:pPr>
            <w:r>
              <w:rPr>
                <w:rFonts w:ascii="Garamond" w:hAnsi="Garamond"/>
              </w:rPr>
              <w:t>TFT/WP</w:t>
            </w:r>
          </w:p>
        </w:tc>
        <w:tc>
          <w:tcPr>
            <w:tcW w:w="2730" w:type="dxa"/>
            <w:tcBorders>
              <w:top w:val="single" w:sz="4" w:space="0" w:color="000000"/>
              <w:left w:val="single" w:sz="4" w:space="0" w:color="000000"/>
              <w:bottom w:val="single" w:sz="4" w:space="0" w:color="000000"/>
              <w:right w:val="single" w:sz="4" w:space="0" w:color="000000"/>
            </w:tcBorders>
          </w:tcPr>
          <w:p w:rsidR="004D5B89" w:rsidRDefault="004D5B89">
            <w:pPr>
              <w:pStyle w:val="BodyText3"/>
              <w:rPr>
                <w:rFonts w:ascii="Garamond" w:hAnsi="Garamond"/>
                <w:b w:val="0"/>
                <w:szCs w:val="24"/>
              </w:rPr>
            </w:pPr>
          </w:p>
          <w:p w:rsidR="004D5B89" w:rsidRDefault="004D5B89">
            <w:pPr>
              <w:pStyle w:val="BodyText3"/>
              <w:rPr>
                <w:rFonts w:ascii="Garamond" w:hAnsi="Garamond"/>
                <w:b w:val="0"/>
                <w:szCs w:val="24"/>
              </w:rPr>
            </w:pPr>
            <w:r>
              <w:rPr>
                <w:rFonts w:ascii="Garamond" w:hAnsi="Garamond"/>
                <w:b w:val="0"/>
                <w:szCs w:val="24"/>
              </w:rPr>
              <w:t>3/2013</w:t>
            </w:r>
          </w:p>
        </w:tc>
      </w:tr>
      <w:tr w:rsidR="004D5B89" w:rsidTr="004D5B89">
        <w:tc>
          <w:tcPr>
            <w:tcW w:w="4589" w:type="dxa"/>
            <w:tcBorders>
              <w:top w:val="single" w:sz="4" w:space="0" w:color="000000"/>
              <w:left w:val="single" w:sz="4" w:space="0" w:color="000000"/>
              <w:bottom w:val="single" w:sz="4" w:space="0" w:color="000000"/>
              <w:right w:val="single" w:sz="4" w:space="0" w:color="000000"/>
            </w:tcBorders>
            <w:hideMark/>
          </w:tcPr>
          <w:p w:rsidR="004D5B89" w:rsidRDefault="004D5B89">
            <w:pPr>
              <w:pStyle w:val="Header"/>
              <w:numPr>
                <w:ilvl w:val="0"/>
                <w:numId w:val="4"/>
              </w:numPr>
              <w:rPr>
                <w:rFonts w:ascii="Garamond" w:hAnsi="Garamond"/>
                <w:u w:val="single"/>
              </w:rPr>
            </w:pPr>
            <w:r>
              <w:rPr>
                <w:rFonts w:ascii="Garamond" w:hAnsi="Garamond"/>
                <w:u w:val="single"/>
              </w:rPr>
              <w:t>Technical Items</w:t>
            </w:r>
          </w:p>
          <w:p w:rsidR="004D5B89" w:rsidRDefault="004D5B89">
            <w:pPr>
              <w:pStyle w:val="ListParagraph"/>
              <w:numPr>
                <w:ilvl w:val="0"/>
                <w:numId w:val="6"/>
              </w:numPr>
              <w:contextualSpacing/>
              <w:rPr>
                <w:rFonts w:ascii="Garamond" w:hAnsi="Garamond"/>
              </w:rPr>
            </w:pPr>
            <w:r>
              <w:rPr>
                <w:rFonts w:ascii="Garamond" w:hAnsi="Garamond"/>
              </w:rPr>
              <w:t>Review Medford permit/TMDL/fact sheet/management plan</w:t>
            </w:r>
          </w:p>
        </w:tc>
        <w:tc>
          <w:tcPr>
            <w:tcW w:w="2634" w:type="dxa"/>
            <w:tcBorders>
              <w:top w:val="single" w:sz="4" w:space="0" w:color="000000"/>
              <w:left w:val="single" w:sz="4" w:space="0" w:color="000000"/>
              <w:bottom w:val="single" w:sz="4" w:space="0" w:color="000000"/>
              <w:right w:val="single" w:sz="4" w:space="0" w:color="000000"/>
            </w:tcBorders>
          </w:tcPr>
          <w:p w:rsidR="004D5B89" w:rsidRDefault="004D5B89">
            <w:pPr>
              <w:rPr>
                <w:rFonts w:ascii="Garamond" w:hAnsi="Garamond"/>
              </w:rPr>
            </w:pPr>
          </w:p>
          <w:p w:rsidR="004D5B89" w:rsidRDefault="004D5B89">
            <w:pPr>
              <w:rPr>
                <w:rFonts w:ascii="Garamond" w:hAnsi="Garamond"/>
              </w:rPr>
            </w:pPr>
            <w:r>
              <w:rPr>
                <w:rFonts w:ascii="Garamond" w:hAnsi="Garamond"/>
              </w:rPr>
              <w:t>OR DEQ, WA Ecology, EPA R10, WP, TFT</w:t>
            </w:r>
          </w:p>
        </w:tc>
        <w:tc>
          <w:tcPr>
            <w:tcW w:w="2730" w:type="dxa"/>
            <w:tcBorders>
              <w:top w:val="single" w:sz="4" w:space="0" w:color="000000"/>
              <w:left w:val="single" w:sz="4" w:space="0" w:color="000000"/>
              <w:bottom w:val="single" w:sz="4" w:space="0" w:color="000000"/>
              <w:right w:val="single" w:sz="4" w:space="0" w:color="000000"/>
            </w:tcBorders>
          </w:tcPr>
          <w:p w:rsidR="004D5B89" w:rsidRDefault="004D5B89">
            <w:pPr>
              <w:pStyle w:val="BodyText3"/>
              <w:rPr>
                <w:rFonts w:ascii="Garamond" w:hAnsi="Garamond"/>
                <w:b w:val="0"/>
                <w:szCs w:val="24"/>
              </w:rPr>
            </w:pPr>
          </w:p>
          <w:p w:rsidR="004D5B89" w:rsidRDefault="004D5B89">
            <w:pPr>
              <w:pStyle w:val="BodyText3"/>
              <w:rPr>
                <w:rFonts w:ascii="Garamond" w:hAnsi="Garamond"/>
                <w:b w:val="0"/>
                <w:szCs w:val="24"/>
              </w:rPr>
            </w:pPr>
            <w:r>
              <w:rPr>
                <w:rFonts w:ascii="Garamond" w:hAnsi="Garamond"/>
                <w:b w:val="0"/>
                <w:szCs w:val="24"/>
              </w:rPr>
              <w:t>3/18/2013</w:t>
            </w:r>
          </w:p>
        </w:tc>
      </w:tr>
    </w:tbl>
    <w:p w:rsidR="004D5B89" w:rsidRDefault="004D5B89" w:rsidP="004D5B89">
      <w:pPr>
        <w:rPr>
          <w:rFonts w:ascii="Garamond" w:hAnsi="Garamond"/>
        </w:rPr>
      </w:pPr>
    </w:p>
    <w:tbl>
      <w:tblPr>
        <w:tblW w:w="1005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4D5B89" w:rsidTr="004D5B89">
        <w:trPr>
          <w:trHeight w:val="225"/>
        </w:trPr>
        <w:tc>
          <w:tcPr>
            <w:tcW w:w="10045" w:type="dxa"/>
            <w:tcBorders>
              <w:top w:val="single" w:sz="4" w:space="0" w:color="auto"/>
              <w:left w:val="single" w:sz="4" w:space="0" w:color="auto"/>
              <w:bottom w:val="single" w:sz="4" w:space="0" w:color="auto"/>
              <w:right w:val="single" w:sz="4" w:space="0" w:color="auto"/>
            </w:tcBorders>
            <w:shd w:val="clear" w:color="auto" w:fill="C0C0C0"/>
            <w:hideMark/>
          </w:tcPr>
          <w:p w:rsidR="004D5B89" w:rsidRDefault="004D5B89">
            <w:pPr>
              <w:pStyle w:val="Header"/>
              <w:tabs>
                <w:tab w:val="left" w:pos="720"/>
              </w:tabs>
              <w:rPr>
                <w:rFonts w:ascii="Garamond" w:hAnsi="Garamond"/>
                <w:b/>
              </w:rPr>
            </w:pPr>
            <w:r>
              <w:rPr>
                <w:rFonts w:ascii="Garamond" w:hAnsi="Garamond"/>
                <w:b/>
              </w:rPr>
              <w:t>Meeting Documents</w:t>
            </w:r>
          </w:p>
        </w:tc>
      </w:tr>
      <w:tr w:rsidR="004D5B89" w:rsidTr="004D5B89">
        <w:trPr>
          <w:trHeight w:val="1475"/>
        </w:trPr>
        <w:tc>
          <w:tcPr>
            <w:tcW w:w="10045" w:type="dxa"/>
            <w:tcBorders>
              <w:top w:val="single" w:sz="4" w:space="0" w:color="auto"/>
              <w:left w:val="single" w:sz="4" w:space="0" w:color="auto"/>
              <w:bottom w:val="single" w:sz="4" w:space="0" w:color="auto"/>
              <w:right w:val="single" w:sz="4" w:space="0" w:color="auto"/>
            </w:tcBorders>
          </w:tcPr>
          <w:p w:rsidR="004D5B89" w:rsidRDefault="004D5B89">
            <w:pPr>
              <w:rPr>
                <w:rFonts w:ascii="Garamond" w:hAnsi="Garamond"/>
              </w:rPr>
            </w:pPr>
            <w:r>
              <w:rPr>
                <w:rFonts w:ascii="Garamond" w:hAnsi="Garamond"/>
              </w:rPr>
              <w:t>The following documents were distributed at this meeting:</w:t>
            </w:r>
          </w:p>
          <w:p w:rsidR="004D5B89" w:rsidRDefault="004D5B89">
            <w:pPr>
              <w:rPr>
                <w:rFonts w:ascii="Garamond" w:hAnsi="Garamond"/>
              </w:rPr>
            </w:pPr>
          </w:p>
          <w:p w:rsidR="004D5B89" w:rsidRDefault="004D5B89">
            <w:pPr>
              <w:numPr>
                <w:ilvl w:val="0"/>
                <w:numId w:val="7"/>
              </w:numPr>
              <w:rPr>
                <w:rFonts w:ascii="Garamond" w:hAnsi="Garamond"/>
              </w:rPr>
            </w:pPr>
            <w:r>
              <w:rPr>
                <w:rFonts w:ascii="Garamond" w:hAnsi="Garamond"/>
              </w:rPr>
              <w:t>Convening Questions</w:t>
            </w:r>
          </w:p>
          <w:p w:rsidR="004D5B89" w:rsidRDefault="004D5B89">
            <w:pPr>
              <w:numPr>
                <w:ilvl w:val="0"/>
                <w:numId w:val="7"/>
              </w:numPr>
              <w:rPr>
                <w:rFonts w:ascii="Garamond" w:hAnsi="Garamond"/>
              </w:rPr>
            </w:pPr>
            <w:proofErr w:type="spellStart"/>
            <w:r>
              <w:rPr>
                <w:rFonts w:ascii="Garamond" w:hAnsi="Garamond"/>
              </w:rPr>
              <w:t>Strawman</w:t>
            </w:r>
            <w:proofErr w:type="spellEnd"/>
            <w:r>
              <w:rPr>
                <w:rFonts w:ascii="Garamond" w:hAnsi="Garamond"/>
              </w:rPr>
              <w:t xml:space="preserve"> discussion draft of JRA Tier 1</w:t>
            </w:r>
          </w:p>
          <w:p w:rsidR="004D5B89" w:rsidRDefault="004D5B89">
            <w:pPr>
              <w:rPr>
                <w:rFonts w:ascii="Garamond" w:hAnsi="Garamond"/>
                <w:i/>
              </w:rPr>
            </w:pPr>
          </w:p>
        </w:tc>
      </w:tr>
    </w:tbl>
    <w:p w:rsidR="004D5B89" w:rsidRDefault="004D5B89" w:rsidP="004D5B89">
      <w:pPr>
        <w:jc w:val="both"/>
        <w:rPr>
          <w:rFonts w:ascii="Garamond" w:hAnsi="Garamond"/>
          <w:b/>
          <w:u w:val="single"/>
        </w:rPr>
      </w:pPr>
    </w:p>
    <w:p w:rsidR="004D5B89" w:rsidRDefault="004D5B89" w:rsidP="004D5B89">
      <w:pPr>
        <w:jc w:val="both"/>
        <w:rPr>
          <w:rFonts w:ascii="Garamond" w:hAnsi="Garamond"/>
          <w:b/>
          <w:u w:val="single"/>
        </w:rPr>
      </w:pPr>
    </w:p>
    <w:p w:rsidR="004D5B89" w:rsidRDefault="004D5B89" w:rsidP="004D5B89">
      <w:pPr>
        <w:jc w:val="both"/>
        <w:rPr>
          <w:rFonts w:ascii="Garamond" w:hAnsi="Garamond"/>
          <w:b/>
          <w:u w:val="single"/>
        </w:rPr>
      </w:pPr>
    </w:p>
    <w:tbl>
      <w:tblPr>
        <w:tblW w:w="1005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4D5B89" w:rsidTr="004D5B89">
        <w:trPr>
          <w:trHeight w:val="225"/>
        </w:trPr>
        <w:tc>
          <w:tcPr>
            <w:tcW w:w="10045" w:type="dxa"/>
            <w:tcBorders>
              <w:top w:val="single" w:sz="4" w:space="0" w:color="auto"/>
              <w:left w:val="single" w:sz="4" w:space="0" w:color="auto"/>
              <w:bottom w:val="single" w:sz="4" w:space="0" w:color="auto"/>
              <w:right w:val="single" w:sz="4" w:space="0" w:color="auto"/>
            </w:tcBorders>
            <w:shd w:val="clear" w:color="auto" w:fill="C0C0C0"/>
            <w:hideMark/>
          </w:tcPr>
          <w:p w:rsidR="004D5B89" w:rsidRDefault="004D5B89">
            <w:pPr>
              <w:pStyle w:val="Header"/>
              <w:tabs>
                <w:tab w:val="left" w:pos="720"/>
              </w:tabs>
              <w:rPr>
                <w:rFonts w:ascii="Garamond" w:hAnsi="Garamond"/>
                <w:b/>
              </w:rPr>
            </w:pPr>
            <w:r>
              <w:rPr>
                <w:rFonts w:ascii="Garamond" w:hAnsi="Garamond"/>
                <w:b/>
              </w:rPr>
              <w:lastRenderedPageBreak/>
              <w:t>Meeting Summary</w:t>
            </w:r>
          </w:p>
        </w:tc>
      </w:tr>
      <w:tr w:rsidR="004D5B89" w:rsidTr="004D5B89">
        <w:trPr>
          <w:trHeight w:val="1475"/>
        </w:trPr>
        <w:tc>
          <w:tcPr>
            <w:tcW w:w="10045" w:type="dxa"/>
            <w:tcBorders>
              <w:top w:val="single" w:sz="4" w:space="0" w:color="auto"/>
              <w:left w:val="single" w:sz="4" w:space="0" w:color="auto"/>
              <w:bottom w:val="single" w:sz="4" w:space="0" w:color="auto"/>
              <w:right w:val="single" w:sz="4" w:space="0" w:color="auto"/>
            </w:tcBorders>
          </w:tcPr>
          <w:p w:rsidR="004D5B89" w:rsidRDefault="004D5B89">
            <w:pPr>
              <w:rPr>
                <w:b/>
              </w:rPr>
            </w:pPr>
            <w:r>
              <w:rPr>
                <w:b/>
              </w:rPr>
              <w:t>Attending:</w:t>
            </w:r>
          </w:p>
          <w:p w:rsidR="004D5B89" w:rsidRDefault="004D5B89">
            <w:pPr>
              <w:pStyle w:val="ListParagraph"/>
              <w:numPr>
                <w:ilvl w:val="0"/>
                <w:numId w:val="8"/>
              </w:numPr>
            </w:pPr>
            <w:r>
              <w:rPr>
                <w:i/>
              </w:rPr>
              <w:t>EPA Region 10</w:t>
            </w:r>
            <w:r>
              <w:t xml:space="preserve">: Claire </w:t>
            </w:r>
            <w:proofErr w:type="spellStart"/>
            <w:r>
              <w:t>Schary</w:t>
            </w:r>
            <w:proofErr w:type="spellEnd"/>
            <w:r>
              <w:t xml:space="preserve"> (WQT regional coordinator), Christine </w:t>
            </w:r>
            <w:proofErr w:type="spellStart"/>
            <w:r>
              <w:t>Psyk</w:t>
            </w:r>
            <w:proofErr w:type="spellEnd"/>
            <w:r>
              <w:t xml:space="preserve"> (assistant director, Water and Watersheds), Susan </w:t>
            </w:r>
            <w:proofErr w:type="spellStart"/>
            <w:r>
              <w:t>Poulsom</w:t>
            </w:r>
            <w:proofErr w:type="spellEnd"/>
            <w:r>
              <w:t xml:space="preserve"> (NPDES permits), </w:t>
            </w:r>
            <w:proofErr w:type="spellStart"/>
            <w:r>
              <w:t>Dru</w:t>
            </w:r>
            <w:proofErr w:type="spellEnd"/>
            <w:r>
              <w:t xml:space="preserve"> Keenan (NPDES permits), </w:t>
            </w:r>
            <w:proofErr w:type="spellStart"/>
            <w:r>
              <w:t>Chae</w:t>
            </w:r>
            <w:proofErr w:type="spellEnd"/>
            <w:r>
              <w:t xml:space="preserve"> Park, Dustan </w:t>
            </w:r>
            <w:proofErr w:type="spellStart"/>
            <w:r>
              <w:t>Bott</w:t>
            </w:r>
            <w:proofErr w:type="spellEnd"/>
            <w:r>
              <w:t xml:space="preserve"> (Office of Compliance), Bill Stewart (by phone, in Idaho), Bob Rose (by phone, in DC HQ office)</w:t>
            </w:r>
          </w:p>
          <w:p w:rsidR="004D5B89" w:rsidRDefault="004D5B89">
            <w:pPr>
              <w:pStyle w:val="ListParagraph"/>
              <w:numPr>
                <w:ilvl w:val="0"/>
                <w:numId w:val="8"/>
              </w:numPr>
            </w:pPr>
            <w:r>
              <w:rPr>
                <w:i/>
              </w:rPr>
              <w:t>Willamette Partnership</w:t>
            </w:r>
            <w:r>
              <w:t xml:space="preserve">: Bobby Cochran, Neil </w:t>
            </w:r>
            <w:proofErr w:type="spellStart"/>
            <w:r>
              <w:t>Mullane</w:t>
            </w:r>
            <w:proofErr w:type="spellEnd"/>
            <w:r>
              <w:t xml:space="preserve">, Carrie </w:t>
            </w:r>
            <w:proofErr w:type="spellStart"/>
            <w:r>
              <w:t>Sanneman</w:t>
            </w:r>
            <w:proofErr w:type="spellEnd"/>
          </w:p>
          <w:p w:rsidR="004D5B89" w:rsidRDefault="004D5B89">
            <w:pPr>
              <w:pStyle w:val="ListParagraph"/>
              <w:numPr>
                <w:ilvl w:val="0"/>
                <w:numId w:val="8"/>
              </w:numPr>
            </w:pPr>
            <w:r>
              <w:rPr>
                <w:i/>
              </w:rPr>
              <w:t>The Freshwater Trust</w:t>
            </w:r>
            <w:r>
              <w:t xml:space="preserve">: Joe </w:t>
            </w:r>
            <w:proofErr w:type="spellStart"/>
            <w:r>
              <w:t>Furia</w:t>
            </w:r>
            <w:proofErr w:type="spellEnd"/>
            <w:r>
              <w:t xml:space="preserve">, Karin Power, Tim </w:t>
            </w:r>
            <w:proofErr w:type="spellStart"/>
            <w:r>
              <w:t>Wigington</w:t>
            </w:r>
            <w:proofErr w:type="spellEnd"/>
          </w:p>
          <w:p w:rsidR="004D5B89" w:rsidRDefault="004D5B89">
            <w:pPr>
              <w:rPr>
                <w:rFonts w:ascii="Garamond" w:hAnsi="Garamond"/>
                <w:i/>
              </w:rPr>
            </w:pPr>
          </w:p>
          <w:p w:rsidR="004D5B89" w:rsidRDefault="004D5B89">
            <w:pPr>
              <w:rPr>
                <w:rFonts w:ascii="Garamond" w:hAnsi="Garamond"/>
                <w:b/>
              </w:rPr>
            </w:pPr>
            <w:r>
              <w:rPr>
                <w:rFonts w:ascii="Garamond" w:hAnsi="Garamond"/>
                <w:b/>
                <w:u w:val="double"/>
              </w:rPr>
              <w:t>I.</w:t>
            </w:r>
            <w:r>
              <w:rPr>
                <w:rFonts w:ascii="Garamond" w:hAnsi="Garamond"/>
                <w:b/>
                <w:u w:val="double"/>
              </w:rPr>
              <w:tab/>
              <w:t>Introductions and Project Overview</w:t>
            </w:r>
            <w:r>
              <w:rPr>
                <w:rFonts w:ascii="Garamond" w:hAnsi="Garamond"/>
                <w:b/>
              </w:rPr>
              <w:t xml:space="preserve">: </w:t>
            </w:r>
          </w:p>
          <w:p w:rsidR="004D5B89" w:rsidRDefault="004D5B89">
            <w:pPr>
              <w:rPr>
                <w:rFonts w:ascii="Garamond" w:hAnsi="Garamond"/>
              </w:rPr>
            </w:pPr>
            <w:r>
              <w:rPr>
                <w:rFonts w:ascii="Garamond" w:hAnsi="Garamond"/>
              </w:rPr>
              <w:t>TFT and WP explained the motivation for the project: WP received a $1.5 million grant from USDA to develop a joint regional agreement (JRA) on water quality trading (WQT) in the Northwest.  The regional product may then be used as a template for other states looking to develop WQT programs.  The need for the project is heightened by lack of consistency across markets, and the need to formalize environmentally stringent program standards.  The project will occur in three phases: development of JRA (2013), pilot project implementation (2014-2015), and revisions to the JRA based on pilot experiences (2015).</w:t>
            </w:r>
          </w:p>
          <w:p w:rsidR="004D5B89" w:rsidRDefault="004D5B89">
            <w:pPr>
              <w:rPr>
                <w:rFonts w:ascii="Garamond" w:hAnsi="Garamond"/>
              </w:rPr>
            </w:pPr>
          </w:p>
          <w:p w:rsidR="004D5B89" w:rsidRDefault="004D5B89">
            <w:pPr>
              <w:rPr>
                <w:rFonts w:ascii="Garamond" w:hAnsi="Garamond"/>
                <w:b/>
                <w:u w:val="single"/>
              </w:rPr>
            </w:pPr>
            <w:r>
              <w:rPr>
                <w:rFonts w:ascii="Garamond" w:hAnsi="Garamond"/>
                <w:b/>
                <w:u w:val="single"/>
              </w:rPr>
              <w:t>II.  Nature of Agreement</w:t>
            </w:r>
          </w:p>
          <w:p w:rsidR="004D5B89" w:rsidRDefault="004D5B89">
            <w:pPr>
              <w:rPr>
                <w:rFonts w:ascii="Garamond" w:hAnsi="Garamond"/>
              </w:rPr>
            </w:pPr>
            <w:r>
              <w:rPr>
                <w:rFonts w:ascii="Garamond" w:hAnsi="Garamond"/>
              </w:rPr>
              <w:t xml:space="preserve">The group discussed the possible format the JRA could take, noting that the path/buy-in to agreement approval will vary depending on the content included in the agreement, and the formality of the final product. </w:t>
            </w:r>
          </w:p>
          <w:p w:rsidR="004D5B89" w:rsidRDefault="004D5B89">
            <w:pPr>
              <w:rPr>
                <w:rFonts w:ascii="Garamond" w:hAnsi="Garamond"/>
              </w:rPr>
            </w:pPr>
          </w:p>
          <w:p w:rsidR="004D5B89" w:rsidRDefault="004D5B89">
            <w:pPr>
              <w:rPr>
                <w:rFonts w:ascii="Garamond" w:hAnsi="Garamond"/>
                <w:b/>
                <w:u w:val="single"/>
              </w:rPr>
            </w:pPr>
            <w:r>
              <w:rPr>
                <w:rFonts w:ascii="Garamond" w:hAnsi="Garamond"/>
                <w:b/>
                <w:u w:val="single"/>
              </w:rPr>
              <w:t>III. Tier 1/Authorities Section</w:t>
            </w:r>
          </w:p>
          <w:p w:rsidR="004D5B89" w:rsidRDefault="004D5B89">
            <w:pPr>
              <w:rPr>
                <w:rFonts w:ascii="Garamond" w:hAnsi="Garamond"/>
              </w:rPr>
            </w:pPr>
            <w:r>
              <w:rPr>
                <w:rFonts w:ascii="Garamond" w:hAnsi="Garamond"/>
              </w:rPr>
              <w:t xml:space="preserve">EPA discussed the range of options available for Tier 1, and noted that any document that opines on the authority for WQT would have to go through EPA HQ and EPA Office of General Counsel.  Consistent with its 2003 trading policy, EPA believes that there is authority for WQT under the Clean Water Act.    </w:t>
            </w:r>
          </w:p>
          <w:p w:rsidR="004D5B89" w:rsidRDefault="004D5B89">
            <w:pPr>
              <w:rPr>
                <w:rFonts w:ascii="Garamond" w:hAnsi="Garamond"/>
                <w:i/>
              </w:rPr>
            </w:pPr>
          </w:p>
          <w:p w:rsidR="004D5B89" w:rsidRDefault="004D5B89">
            <w:pPr>
              <w:rPr>
                <w:rFonts w:ascii="Garamond" w:hAnsi="Garamond"/>
                <w:b/>
                <w:u w:val="single"/>
              </w:rPr>
            </w:pPr>
            <w:r>
              <w:rPr>
                <w:rFonts w:ascii="Garamond" w:hAnsi="Garamond"/>
                <w:b/>
                <w:u w:val="single"/>
              </w:rPr>
              <w:t>IV.  Tier 2 Standard Operating Procedures</w:t>
            </w:r>
          </w:p>
          <w:p w:rsidR="004D5B89" w:rsidRDefault="004D5B89">
            <w:pPr>
              <w:rPr>
                <w:rFonts w:ascii="Garamond" w:hAnsi="Garamond"/>
              </w:rPr>
            </w:pPr>
            <w:r>
              <w:rPr>
                <w:rFonts w:ascii="Garamond" w:hAnsi="Garamond"/>
              </w:rPr>
              <w:t xml:space="preserve">EPA expressed its preference for WQT in trading environments with comprehensive data.  The JRA work group noted that the suggested standard operating procedures would not vary significantly across trading environments.  The group also discussed the favorability of building WQT into TMDLs, as opposed to reconstructing WQT in each individual permit.  The group discussed specific aspects of WQT programs, including baseline (i.e. not setting too high or too low), nonpoint source inclusion, and the durability of best management practices. EPA Region 10 posited that the participating states may have the greatest level of variability as it relates to baseline.  EPA HQ expressed its intention to participate in the upcoming inter-agency workshops. </w:t>
            </w:r>
          </w:p>
          <w:p w:rsidR="004D5B89" w:rsidRDefault="004D5B89">
            <w:pPr>
              <w:rPr>
                <w:rFonts w:ascii="Garamond" w:hAnsi="Garamond"/>
              </w:rPr>
            </w:pPr>
          </w:p>
          <w:p w:rsidR="004D5B89" w:rsidRDefault="004D5B89">
            <w:pPr>
              <w:rPr>
                <w:rFonts w:ascii="Garamond" w:hAnsi="Garamond"/>
                <w:b/>
                <w:u w:val="single"/>
              </w:rPr>
            </w:pPr>
            <w:r>
              <w:rPr>
                <w:rFonts w:ascii="Garamond" w:hAnsi="Garamond"/>
                <w:b/>
                <w:u w:val="single"/>
              </w:rPr>
              <w:t>V.  Potential Pilot Project Areas</w:t>
            </w:r>
          </w:p>
          <w:p w:rsidR="004D5B89" w:rsidRDefault="004D5B89">
            <w:pPr>
              <w:rPr>
                <w:rFonts w:ascii="Garamond" w:hAnsi="Garamond"/>
              </w:rPr>
            </w:pPr>
            <w:r>
              <w:rPr>
                <w:rFonts w:ascii="Garamond" w:hAnsi="Garamond"/>
              </w:rPr>
              <w:t xml:space="preserve">EPA R10 suggested potential pilot projects to implement in 2014-2015, and suggested locations in Idaho and Washington to pursue (addressing nutrient, temperature, and sediment situations).  </w:t>
            </w:r>
          </w:p>
          <w:p w:rsidR="004D5B89" w:rsidRDefault="004D5B89">
            <w:pPr>
              <w:rPr>
                <w:rFonts w:ascii="Garamond" w:hAnsi="Garamond"/>
              </w:rPr>
            </w:pPr>
          </w:p>
          <w:p w:rsidR="004D5B89" w:rsidRDefault="004D5B89">
            <w:pPr>
              <w:rPr>
                <w:rFonts w:ascii="Garamond" w:hAnsi="Garamond"/>
                <w:b/>
                <w:u w:val="single"/>
              </w:rPr>
            </w:pPr>
            <w:r>
              <w:rPr>
                <w:rFonts w:ascii="Garamond" w:hAnsi="Garamond"/>
                <w:b/>
                <w:u w:val="single"/>
              </w:rPr>
              <w:t>VI.  Communications &amp; Outreach</w:t>
            </w:r>
          </w:p>
          <w:p w:rsidR="004D5B89" w:rsidRDefault="004D5B89">
            <w:pPr>
              <w:rPr>
                <w:rFonts w:ascii="Garamond" w:hAnsi="Garamond"/>
              </w:rPr>
            </w:pPr>
            <w:r>
              <w:rPr>
                <w:rFonts w:ascii="Garamond" w:hAnsi="Garamond"/>
              </w:rPr>
              <w:t xml:space="preserve">EPA R10 suggested reaching out to local conservation and irrigation districts, environmental advocacy groups, groups that represent landowners (farm associations, etc.) to educate them on the benefits/intricacies of WQT.  EPA also suggested that the work group continue having conversations with agency stakeholders at both the state and federal level.  </w:t>
            </w:r>
          </w:p>
          <w:p w:rsidR="004D5B89" w:rsidRDefault="004D5B89">
            <w:pPr>
              <w:rPr>
                <w:rFonts w:ascii="Garamond" w:hAnsi="Garamond"/>
                <w:i/>
              </w:rPr>
            </w:pPr>
            <w:bookmarkStart w:id="0" w:name="_GoBack"/>
            <w:bookmarkEnd w:id="0"/>
          </w:p>
        </w:tc>
      </w:tr>
    </w:tbl>
    <w:p w:rsidR="004D5B89" w:rsidRDefault="004D5B89" w:rsidP="004D5B89">
      <w:pPr>
        <w:jc w:val="both"/>
        <w:rPr>
          <w:rFonts w:ascii="Garamond" w:hAnsi="Garamond"/>
          <w:b/>
          <w:u w:val="single"/>
        </w:rPr>
      </w:pPr>
    </w:p>
    <w:p w:rsidR="00ED5D58" w:rsidRDefault="00ED5D58"/>
    <w:sectPr w:rsidR="00ED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960"/>
    <w:multiLevelType w:val="hybridMultilevel"/>
    <w:tmpl w:val="03A401B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0"/>
        </w:tabs>
        <w:ind w:left="0" w:hanging="360"/>
      </w:pPr>
      <w:rPr>
        <w:rFonts w:ascii="Courier New" w:hAnsi="Courier New" w:cs="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Courier New" w:hint="default"/>
      </w:rPr>
    </w:lvl>
    <w:lvl w:ilvl="5" w:tplc="FFFFFFFF">
      <w:start w:val="1"/>
      <w:numFmt w:val="bullet"/>
      <w:lvlText w:val=""/>
      <w:lvlJc w:val="left"/>
      <w:pPr>
        <w:tabs>
          <w:tab w:val="num" w:pos="2880"/>
        </w:tabs>
        <w:ind w:left="2880" w:hanging="360"/>
      </w:pPr>
      <w:rPr>
        <w:rFonts w:ascii="Wingdings" w:hAnsi="Wingdings" w:hint="default"/>
      </w:rPr>
    </w:lvl>
    <w:lvl w:ilvl="6" w:tplc="FFFFFFFF">
      <w:start w:val="1"/>
      <w:numFmt w:val="bullet"/>
      <w:lvlText w:val=""/>
      <w:lvlJc w:val="left"/>
      <w:pPr>
        <w:tabs>
          <w:tab w:val="num" w:pos="3600"/>
        </w:tabs>
        <w:ind w:left="3600" w:hanging="360"/>
      </w:pPr>
      <w:rPr>
        <w:rFonts w:ascii="Symbol" w:hAnsi="Symbol" w:hint="default"/>
      </w:rPr>
    </w:lvl>
    <w:lvl w:ilvl="7" w:tplc="FFFFFFFF">
      <w:start w:val="1"/>
      <w:numFmt w:val="bullet"/>
      <w:lvlText w:val="o"/>
      <w:lvlJc w:val="left"/>
      <w:pPr>
        <w:tabs>
          <w:tab w:val="num" w:pos="4320"/>
        </w:tabs>
        <w:ind w:left="4320" w:hanging="360"/>
      </w:pPr>
      <w:rPr>
        <w:rFonts w:ascii="Courier New" w:hAnsi="Courier New" w:cs="Courier New" w:hint="default"/>
      </w:rPr>
    </w:lvl>
    <w:lvl w:ilvl="8" w:tplc="FFFFFFFF">
      <w:start w:val="1"/>
      <w:numFmt w:val="bullet"/>
      <w:lvlText w:val=""/>
      <w:lvlJc w:val="left"/>
      <w:pPr>
        <w:tabs>
          <w:tab w:val="num" w:pos="5040"/>
        </w:tabs>
        <w:ind w:left="5040" w:hanging="360"/>
      </w:pPr>
      <w:rPr>
        <w:rFonts w:ascii="Wingdings" w:hAnsi="Wingdings" w:hint="default"/>
      </w:rPr>
    </w:lvl>
  </w:abstractNum>
  <w:abstractNum w:abstractNumId="1">
    <w:nsid w:val="142A42F1"/>
    <w:multiLevelType w:val="hybridMultilevel"/>
    <w:tmpl w:val="36F26D10"/>
    <w:lvl w:ilvl="0" w:tplc="6A5CD5F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F73142B"/>
    <w:multiLevelType w:val="hybridMultilevel"/>
    <w:tmpl w:val="3584932C"/>
    <w:lvl w:ilvl="0" w:tplc="AB4E71B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1F826C9"/>
    <w:multiLevelType w:val="hybridMultilevel"/>
    <w:tmpl w:val="4C32AFDC"/>
    <w:lvl w:ilvl="0" w:tplc="FFFFFFFF">
      <w:start w:val="1"/>
      <w:numFmt w:val="bullet"/>
      <w:lvlText w:val=""/>
      <w:lvlJc w:val="left"/>
      <w:pPr>
        <w:tabs>
          <w:tab w:val="num" w:pos="360"/>
        </w:tabs>
        <w:ind w:left="360" w:hanging="360"/>
      </w:pPr>
      <w:rPr>
        <w:rFonts w:ascii="Symbol" w:hAnsi="Symbol" w:hint="default"/>
        <w:color w:val="auto"/>
        <w:sz w:val="20"/>
        <w:szCs w:val="20"/>
      </w:rPr>
    </w:lvl>
    <w:lvl w:ilvl="1" w:tplc="FFFFFFFF">
      <w:start w:val="1"/>
      <w:numFmt w:val="bullet"/>
      <w:lvlText w:val=""/>
      <w:lvlJc w:val="left"/>
      <w:pPr>
        <w:tabs>
          <w:tab w:val="num" w:pos="1440"/>
        </w:tabs>
        <w:ind w:left="1440" w:hanging="360"/>
      </w:pPr>
      <w:rPr>
        <w:rFonts w:ascii="Symbol" w:hAnsi="Symbol" w:hint="default"/>
        <w:strike w:val="0"/>
        <w:dstrike w:val="0"/>
        <w:color w:val="auto"/>
        <w:sz w:val="20"/>
        <w:szCs w:val="20"/>
        <w:u w:val="none"/>
        <w:effect w:val="none"/>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ABD1309"/>
    <w:multiLevelType w:val="hybridMultilevel"/>
    <w:tmpl w:val="A914F35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Symbol" w:hAnsi="Symbol" w:hint="default"/>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F7E5036"/>
    <w:multiLevelType w:val="hybridMultilevel"/>
    <w:tmpl w:val="1F1CF150"/>
    <w:lvl w:ilvl="0" w:tplc="24040F2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8975615"/>
    <w:multiLevelType w:val="hybridMultilevel"/>
    <w:tmpl w:val="64E2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EE150F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89"/>
    <w:rsid w:val="004D5B89"/>
    <w:rsid w:val="00E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89"/>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4D5B89"/>
    <w:pPr>
      <w:keepNext/>
      <w:numPr>
        <w:numId w:val="1"/>
      </w:numPr>
      <w:tabs>
        <w:tab w:val="left" w:pos="4770"/>
      </w:tabs>
      <w:outlineLvl w:val="0"/>
    </w:pPr>
    <w:rPr>
      <w:b/>
      <w:szCs w:val="20"/>
      <w:u w:val="single"/>
    </w:rPr>
  </w:style>
  <w:style w:type="paragraph" w:styleId="Heading2">
    <w:name w:val="heading 2"/>
    <w:basedOn w:val="Normal"/>
    <w:next w:val="Normal"/>
    <w:link w:val="Heading2Char"/>
    <w:semiHidden/>
    <w:unhideWhenUsed/>
    <w:qFormat/>
    <w:rsid w:val="004D5B89"/>
    <w:pPr>
      <w:keepNext/>
      <w:numPr>
        <w:ilvl w:val="1"/>
        <w:numId w:val="1"/>
      </w:numPr>
      <w:outlineLvl w:val="1"/>
    </w:pPr>
    <w:rPr>
      <w:u w:val="single"/>
    </w:rPr>
  </w:style>
  <w:style w:type="paragraph" w:styleId="Heading7">
    <w:name w:val="heading 7"/>
    <w:basedOn w:val="Normal"/>
    <w:next w:val="Normal"/>
    <w:link w:val="Heading7Char"/>
    <w:semiHidden/>
    <w:unhideWhenUsed/>
    <w:qFormat/>
    <w:rsid w:val="004D5B89"/>
    <w:pPr>
      <w:widowControl w:val="0"/>
      <w:numPr>
        <w:ilvl w:val="6"/>
        <w:numId w:val="1"/>
      </w:numPr>
      <w:snapToGrid w:val="0"/>
      <w:spacing w:before="240" w:after="60"/>
      <w:outlineLvl w:val="6"/>
    </w:pPr>
    <w:rPr>
      <w:rFonts w:ascii="CG Omega" w:hAnsi="CG Omeg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B89"/>
    <w:rPr>
      <w:rFonts w:ascii="Times New Roman" w:eastAsia="MS Mincho" w:hAnsi="Times New Roman" w:cs="Times New Roman"/>
      <w:b/>
      <w:sz w:val="24"/>
      <w:szCs w:val="20"/>
      <w:u w:val="single"/>
    </w:rPr>
  </w:style>
  <w:style w:type="character" w:customStyle="1" w:styleId="Heading2Char">
    <w:name w:val="Heading 2 Char"/>
    <w:basedOn w:val="DefaultParagraphFont"/>
    <w:link w:val="Heading2"/>
    <w:semiHidden/>
    <w:rsid w:val="004D5B89"/>
    <w:rPr>
      <w:rFonts w:ascii="Times New Roman" w:eastAsia="MS Mincho" w:hAnsi="Times New Roman" w:cs="Times New Roman"/>
      <w:sz w:val="24"/>
      <w:szCs w:val="24"/>
      <w:u w:val="single"/>
    </w:rPr>
  </w:style>
  <w:style w:type="character" w:customStyle="1" w:styleId="Heading7Char">
    <w:name w:val="Heading 7 Char"/>
    <w:basedOn w:val="DefaultParagraphFont"/>
    <w:link w:val="Heading7"/>
    <w:semiHidden/>
    <w:rsid w:val="004D5B89"/>
    <w:rPr>
      <w:rFonts w:ascii="CG Omega" w:eastAsia="MS Mincho" w:hAnsi="CG Omega" w:cs="Times New Roman"/>
      <w:b/>
      <w:sz w:val="24"/>
      <w:szCs w:val="20"/>
    </w:rPr>
  </w:style>
  <w:style w:type="paragraph" w:styleId="Header">
    <w:name w:val="header"/>
    <w:basedOn w:val="Normal"/>
    <w:link w:val="HeaderChar"/>
    <w:unhideWhenUsed/>
    <w:rsid w:val="004D5B89"/>
    <w:pPr>
      <w:tabs>
        <w:tab w:val="center" w:pos="4320"/>
        <w:tab w:val="right" w:pos="8640"/>
      </w:tabs>
    </w:pPr>
  </w:style>
  <w:style w:type="character" w:customStyle="1" w:styleId="HeaderChar">
    <w:name w:val="Header Char"/>
    <w:basedOn w:val="DefaultParagraphFont"/>
    <w:link w:val="Header"/>
    <w:rsid w:val="004D5B89"/>
    <w:rPr>
      <w:rFonts w:ascii="Times New Roman" w:eastAsia="MS Mincho" w:hAnsi="Times New Roman" w:cs="Times New Roman"/>
      <w:sz w:val="24"/>
      <w:szCs w:val="24"/>
    </w:rPr>
  </w:style>
  <w:style w:type="paragraph" w:styleId="BodyText3">
    <w:name w:val="Body Text 3"/>
    <w:basedOn w:val="Normal"/>
    <w:link w:val="BodyText3Char"/>
    <w:unhideWhenUsed/>
    <w:rsid w:val="004D5B89"/>
    <w:rPr>
      <w:b/>
      <w:szCs w:val="20"/>
    </w:rPr>
  </w:style>
  <w:style w:type="character" w:customStyle="1" w:styleId="BodyText3Char">
    <w:name w:val="Body Text 3 Char"/>
    <w:basedOn w:val="DefaultParagraphFont"/>
    <w:link w:val="BodyText3"/>
    <w:rsid w:val="004D5B89"/>
    <w:rPr>
      <w:rFonts w:ascii="Times New Roman" w:eastAsia="MS Mincho" w:hAnsi="Times New Roman" w:cs="Times New Roman"/>
      <w:b/>
      <w:sz w:val="24"/>
      <w:szCs w:val="20"/>
    </w:rPr>
  </w:style>
  <w:style w:type="paragraph" w:styleId="ListParagraph">
    <w:name w:val="List Paragraph"/>
    <w:basedOn w:val="Normal"/>
    <w:uiPriority w:val="99"/>
    <w:qFormat/>
    <w:rsid w:val="004D5B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89"/>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4D5B89"/>
    <w:pPr>
      <w:keepNext/>
      <w:numPr>
        <w:numId w:val="1"/>
      </w:numPr>
      <w:tabs>
        <w:tab w:val="left" w:pos="4770"/>
      </w:tabs>
      <w:outlineLvl w:val="0"/>
    </w:pPr>
    <w:rPr>
      <w:b/>
      <w:szCs w:val="20"/>
      <w:u w:val="single"/>
    </w:rPr>
  </w:style>
  <w:style w:type="paragraph" w:styleId="Heading2">
    <w:name w:val="heading 2"/>
    <w:basedOn w:val="Normal"/>
    <w:next w:val="Normal"/>
    <w:link w:val="Heading2Char"/>
    <w:semiHidden/>
    <w:unhideWhenUsed/>
    <w:qFormat/>
    <w:rsid w:val="004D5B89"/>
    <w:pPr>
      <w:keepNext/>
      <w:numPr>
        <w:ilvl w:val="1"/>
        <w:numId w:val="1"/>
      </w:numPr>
      <w:outlineLvl w:val="1"/>
    </w:pPr>
    <w:rPr>
      <w:u w:val="single"/>
    </w:rPr>
  </w:style>
  <w:style w:type="paragraph" w:styleId="Heading7">
    <w:name w:val="heading 7"/>
    <w:basedOn w:val="Normal"/>
    <w:next w:val="Normal"/>
    <w:link w:val="Heading7Char"/>
    <w:semiHidden/>
    <w:unhideWhenUsed/>
    <w:qFormat/>
    <w:rsid w:val="004D5B89"/>
    <w:pPr>
      <w:widowControl w:val="0"/>
      <w:numPr>
        <w:ilvl w:val="6"/>
        <w:numId w:val="1"/>
      </w:numPr>
      <w:snapToGrid w:val="0"/>
      <w:spacing w:before="240" w:after="60"/>
      <w:outlineLvl w:val="6"/>
    </w:pPr>
    <w:rPr>
      <w:rFonts w:ascii="CG Omega" w:hAnsi="CG Omeg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B89"/>
    <w:rPr>
      <w:rFonts w:ascii="Times New Roman" w:eastAsia="MS Mincho" w:hAnsi="Times New Roman" w:cs="Times New Roman"/>
      <w:b/>
      <w:sz w:val="24"/>
      <w:szCs w:val="20"/>
      <w:u w:val="single"/>
    </w:rPr>
  </w:style>
  <w:style w:type="character" w:customStyle="1" w:styleId="Heading2Char">
    <w:name w:val="Heading 2 Char"/>
    <w:basedOn w:val="DefaultParagraphFont"/>
    <w:link w:val="Heading2"/>
    <w:semiHidden/>
    <w:rsid w:val="004D5B89"/>
    <w:rPr>
      <w:rFonts w:ascii="Times New Roman" w:eastAsia="MS Mincho" w:hAnsi="Times New Roman" w:cs="Times New Roman"/>
      <w:sz w:val="24"/>
      <w:szCs w:val="24"/>
      <w:u w:val="single"/>
    </w:rPr>
  </w:style>
  <w:style w:type="character" w:customStyle="1" w:styleId="Heading7Char">
    <w:name w:val="Heading 7 Char"/>
    <w:basedOn w:val="DefaultParagraphFont"/>
    <w:link w:val="Heading7"/>
    <w:semiHidden/>
    <w:rsid w:val="004D5B89"/>
    <w:rPr>
      <w:rFonts w:ascii="CG Omega" w:eastAsia="MS Mincho" w:hAnsi="CG Omega" w:cs="Times New Roman"/>
      <w:b/>
      <w:sz w:val="24"/>
      <w:szCs w:val="20"/>
    </w:rPr>
  </w:style>
  <w:style w:type="paragraph" w:styleId="Header">
    <w:name w:val="header"/>
    <w:basedOn w:val="Normal"/>
    <w:link w:val="HeaderChar"/>
    <w:unhideWhenUsed/>
    <w:rsid w:val="004D5B89"/>
    <w:pPr>
      <w:tabs>
        <w:tab w:val="center" w:pos="4320"/>
        <w:tab w:val="right" w:pos="8640"/>
      </w:tabs>
    </w:pPr>
  </w:style>
  <w:style w:type="character" w:customStyle="1" w:styleId="HeaderChar">
    <w:name w:val="Header Char"/>
    <w:basedOn w:val="DefaultParagraphFont"/>
    <w:link w:val="Header"/>
    <w:rsid w:val="004D5B89"/>
    <w:rPr>
      <w:rFonts w:ascii="Times New Roman" w:eastAsia="MS Mincho" w:hAnsi="Times New Roman" w:cs="Times New Roman"/>
      <w:sz w:val="24"/>
      <w:szCs w:val="24"/>
    </w:rPr>
  </w:style>
  <w:style w:type="paragraph" w:styleId="BodyText3">
    <w:name w:val="Body Text 3"/>
    <w:basedOn w:val="Normal"/>
    <w:link w:val="BodyText3Char"/>
    <w:unhideWhenUsed/>
    <w:rsid w:val="004D5B89"/>
    <w:rPr>
      <w:b/>
      <w:szCs w:val="20"/>
    </w:rPr>
  </w:style>
  <w:style w:type="character" w:customStyle="1" w:styleId="BodyText3Char">
    <w:name w:val="Body Text 3 Char"/>
    <w:basedOn w:val="DefaultParagraphFont"/>
    <w:link w:val="BodyText3"/>
    <w:rsid w:val="004D5B89"/>
    <w:rPr>
      <w:rFonts w:ascii="Times New Roman" w:eastAsia="MS Mincho" w:hAnsi="Times New Roman" w:cs="Times New Roman"/>
      <w:b/>
      <w:sz w:val="24"/>
      <w:szCs w:val="20"/>
    </w:rPr>
  </w:style>
  <w:style w:type="paragraph" w:styleId="ListParagraph">
    <w:name w:val="List Paragraph"/>
    <w:basedOn w:val="Normal"/>
    <w:uiPriority w:val="99"/>
    <w:qFormat/>
    <w:rsid w:val="004D5B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3842</Characters>
  <Application>Microsoft Office Word</Application>
  <DocSecurity>0</DocSecurity>
  <Lines>128</Lines>
  <Paragraphs>58</Paragraphs>
  <ScaleCrop>false</ScaleCrop>
  <HeadingPairs>
    <vt:vector size="2" baseType="variant">
      <vt:variant>
        <vt:lpstr>Title</vt:lpstr>
      </vt:variant>
      <vt:variant>
        <vt:i4>1</vt:i4>
      </vt:variant>
    </vt:vector>
  </HeadingPairs>
  <TitlesOfParts>
    <vt:vector size="1" baseType="lpstr">
      <vt:lpstr/>
    </vt:vector>
  </TitlesOfParts>
  <Company>Idaho DEQ</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Ramirez</dc:creator>
  <cp:lastModifiedBy>Esther Ramirez</cp:lastModifiedBy>
  <cp:revision>1</cp:revision>
  <dcterms:created xsi:type="dcterms:W3CDTF">2013-03-27T17:32:00Z</dcterms:created>
  <dcterms:modified xsi:type="dcterms:W3CDTF">2013-03-27T17:32:00Z</dcterms:modified>
</cp:coreProperties>
</file>