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E8" w:rsidRDefault="005B25E8" w:rsidP="00DD45F2">
      <w:pPr>
        <w:pStyle w:val="Default"/>
        <w:pBdr>
          <w:bottom w:val="single" w:sz="4" w:space="1" w:color="auto"/>
        </w:pBdr>
        <w:rPr>
          <w:rFonts w:ascii="Palatino Linotype" w:hAnsi="Palatino Linotype" w:cs="Arial"/>
          <w:b/>
          <w:bCs/>
          <w:sz w:val="28"/>
          <w:szCs w:val="23"/>
        </w:rPr>
      </w:pPr>
      <w:bookmarkStart w:id="0" w:name="_GoBack"/>
      <w:bookmarkEnd w:id="0"/>
    </w:p>
    <w:p w:rsidR="00D431A9" w:rsidRDefault="00D431A9" w:rsidP="00D431A9">
      <w:pPr>
        <w:pStyle w:val="Default"/>
        <w:pBdr>
          <w:bottom w:val="single" w:sz="4" w:space="1" w:color="auto"/>
        </w:pBdr>
        <w:spacing w:after="120"/>
        <w:rPr>
          <w:rFonts w:ascii="Palatino Linotype" w:hAnsi="Palatino Linotype" w:cs="Arial"/>
          <w:b/>
          <w:bCs/>
          <w:sz w:val="28"/>
          <w:szCs w:val="23"/>
        </w:rPr>
      </w:pPr>
      <w:r>
        <w:rPr>
          <w:rFonts w:ascii="Palatino Linotype" w:hAnsi="Palatino Linotype" w:cs="Arial"/>
          <w:b/>
          <w:bCs/>
          <w:sz w:val="28"/>
          <w:szCs w:val="23"/>
        </w:rPr>
        <w:t xml:space="preserve">Discussion Guide, March </w:t>
      </w:r>
      <w:r w:rsidR="00D35D74">
        <w:rPr>
          <w:rFonts w:ascii="Palatino Linotype" w:hAnsi="Palatino Linotype" w:cs="Arial"/>
          <w:b/>
          <w:bCs/>
          <w:sz w:val="28"/>
          <w:szCs w:val="23"/>
        </w:rPr>
        <w:t>26</w:t>
      </w:r>
      <w:r>
        <w:rPr>
          <w:rFonts w:ascii="Palatino Linotype" w:hAnsi="Palatino Linotype" w:cs="Arial"/>
          <w:b/>
          <w:bCs/>
          <w:sz w:val="28"/>
          <w:szCs w:val="23"/>
        </w:rPr>
        <w:t>, 2013</w:t>
      </w:r>
    </w:p>
    <w:p w:rsidR="00D431A9" w:rsidRPr="009E6D3F" w:rsidRDefault="00293864" w:rsidP="00965566">
      <w:pPr>
        <w:pStyle w:val="Default"/>
        <w:pBdr>
          <w:bottom w:val="single" w:sz="4" w:space="1" w:color="auto"/>
        </w:pBdr>
        <w:spacing w:before="360"/>
        <w:rPr>
          <w:rFonts w:ascii="Palatino Linotype" w:hAnsi="Palatino Linotype" w:cs="Arial"/>
          <w:b/>
          <w:bCs/>
          <w:sz w:val="28"/>
          <w:szCs w:val="23"/>
        </w:rPr>
      </w:pPr>
      <w:r>
        <w:rPr>
          <w:rFonts w:ascii="Palatino Linotype" w:hAnsi="Palatino Linotype" w:cs="Arial"/>
          <w:b/>
          <w:bCs/>
          <w:sz w:val="28"/>
          <w:szCs w:val="23"/>
        </w:rPr>
        <w:t xml:space="preserve">4. </w:t>
      </w:r>
      <w:r>
        <w:rPr>
          <w:rFonts w:ascii="Palatino Linotype" w:hAnsi="Palatino Linotype" w:cs="Arial"/>
          <w:b/>
          <w:bCs/>
          <w:sz w:val="28"/>
        </w:rPr>
        <w:t>Project Implementation and Quality Assurance Standards</w:t>
      </w:r>
    </w:p>
    <w:p w:rsidR="008C2F65" w:rsidRPr="005E5519" w:rsidRDefault="008C2F65" w:rsidP="004F1900">
      <w:pPr>
        <w:spacing w:line="276" w:lineRule="auto"/>
        <w:rPr>
          <w:sz w:val="24"/>
        </w:rPr>
      </w:pPr>
      <w:r w:rsidRPr="005E5519">
        <w:rPr>
          <w:sz w:val="24"/>
        </w:rPr>
        <w:t>It is not enough simply to say that a practice has been implemented. This section describes the standards that ensure</w:t>
      </w:r>
      <w:r w:rsidR="00965566" w:rsidRPr="005E5519">
        <w:rPr>
          <w:sz w:val="24"/>
        </w:rPr>
        <w:t xml:space="preserve"> the </w:t>
      </w:r>
      <w:r w:rsidRPr="005E5519">
        <w:rPr>
          <w:sz w:val="24"/>
        </w:rPr>
        <w:t>projects</w:t>
      </w:r>
      <w:r w:rsidR="00965566" w:rsidRPr="005E5519">
        <w:rPr>
          <w:sz w:val="24"/>
        </w:rPr>
        <w:t xml:space="preserve"> seeking verification are appropriate for crediting,</w:t>
      </w:r>
      <w:r w:rsidRPr="005E5519">
        <w:rPr>
          <w:sz w:val="24"/>
        </w:rPr>
        <w:t xml:space="preserve"> were implemented to a high standard</w:t>
      </w:r>
      <w:r w:rsidR="00965566" w:rsidRPr="005E5519">
        <w:rPr>
          <w:sz w:val="24"/>
        </w:rPr>
        <w:t xml:space="preserve"> and were </w:t>
      </w:r>
      <w:r w:rsidR="0064431B" w:rsidRPr="005E5519">
        <w:rPr>
          <w:sz w:val="24"/>
        </w:rPr>
        <w:t>implemented</w:t>
      </w:r>
      <w:r w:rsidR="00965566" w:rsidRPr="005E5519">
        <w:rPr>
          <w:sz w:val="24"/>
        </w:rPr>
        <w:t xml:space="preserve"> </w:t>
      </w:r>
      <w:r w:rsidRPr="005E5519">
        <w:rPr>
          <w:sz w:val="24"/>
        </w:rPr>
        <w:t xml:space="preserve">in a way that achieves the credited water quality benefits for as long as the credit is valid and is consistent with other laws. Considerations and </w:t>
      </w:r>
      <w:r w:rsidR="0064431B" w:rsidRPr="005E5519">
        <w:rPr>
          <w:sz w:val="24"/>
        </w:rPr>
        <w:t>options</w:t>
      </w:r>
      <w:r w:rsidRPr="005E5519">
        <w:rPr>
          <w:sz w:val="24"/>
        </w:rPr>
        <w:t xml:space="preserve"> are presented for the following components of Project Implementation and Quality Assurance Standards:</w:t>
      </w:r>
    </w:p>
    <w:sdt>
      <w:sdtPr>
        <w:id w:val="1499471604"/>
        <w:docPartObj>
          <w:docPartGallery w:val="Table of Contents"/>
          <w:docPartUnique/>
        </w:docPartObj>
      </w:sdtPr>
      <w:sdtEndPr>
        <w:rPr>
          <w:b/>
          <w:bCs/>
          <w:noProof/>
        </w:rPr>
      </w:sdtEndPr>
      <w:sdtContent>
        <w:p w:rsidR="008C2F65" w:rsidRDefault="008C2F65" w:rsidP="008C2F65">
          <w:pPr>
            <w:spacing w:after="200" w:line="276" w:lineRule="auto"/>
          </w:pPr>
        </w:p>
        <w:p w:rsidR="00C60074" w:rsidRDefault="000304CF">
          <w:pPr>
            <w:pStyle w:val="TOC2"/>
            <w:tabs>
              <w:tab w:val="right" w:leader="dot" w:pos="9926"/>
            </w:tabs>
            <w:rPr>
              <w:rFonts w:asciiTheme="minorHAnsi" w:eastAsiaTheme="minorEastAsia" w:hAnsiTheme="minorHAnsi" w:cstheme="minorBidi"/>
              <w:noProof/>
            </w:rPr>
          </w:pPr>
          <w:r w:rsidRPr="000304CF">
            <w:fldChar w:fldCharType="begin"/>
          </w:r>
          <w:r w:rsidR="008C2F65">
            <w:instrText xml:space="preserve"> TOC \o "1-3" \h \z \u </w:instrText>
          </w:r>
          <w:r w:rsidRPr="000304CF">
            <w:fldChar w:fldCharType="separate"/>
          </w:r>
          <w:hyperlink w:anchor="_Toc352136328" w:history="1">
            <w:r w:rsidR="00C60074" w:rsidRPr="007B3689">
              <w:rPr>
                <w:rStyle w:val="Hyperlink"/>
                <w:b/>
                <w:noProof/>
              </w:rPr>
              <w:t>4.1 Site screenting/validation</w:t>
            </w:r>
            <w:r w:rsidR="00C60074">
              <w:rPr>
                <w:noProof/>
                <w:webHidden/>
              </w:rPr>
              <w:tab/>
            </w:r>
            <w:r>
              <w:rPr>
                <w:noProof/>
                <w:webHidden/>
              </w:rPr>
              <w:fldChar w:fldCharType="begin"/>
            </w:r>
            <w:r w:rsidR="00C60074">
              <w:rPr>
                <w:noProof/>
                <w:webHidden/>
              </w:rPr>
              <w:instrText xml:space="preserve"> PAGEREF _Toc352136328 \h </w:instrText>
            </w:r>
            <w:r>
              <w:rPr>
                <w:noProof/>
                <w:webHidden/>
              </w:rPr>
            </w:r>
            <w:r>
              <w:rPr>
                <w:noProof/>
                <w:webHidden/>
              </w:rPr>
              <w:fldChar w:fldCharType="separate"/>
            </w:r>
            <w:r w:rsidR="00C60074">
              <w:rPr>
                <w:noProof/>
                <w:webHidden/>
              </w:rPr>
              <w:t>1</w:t>
            </w:r>
            <w:r>
              <w:rPr>
                <w:noProof/>
                <w:webHidden/>
              </w:rPr>
              <w:fldChar w:fldCharType="end"/>
            </w:r>
          </w:hyperlink>
        </w:p>
        <w:p w:rsidR="00C60074" w:rsidRDefault="000304CF">
          <w:pPr>
            <w:pStyle w:val="TOC2"/>
            <w:tabs>
              <w:tab w:val="right" w:leader="dot" w:pos="9926"/>
            </w:tabs>
            <w:rPr>
              <w:rFonts w:asciiTheme="minorHAnsi" w:eastAsiaTheme="minorEastAsia" w:hAnsiTheme="minorHAnsi" w:cstheme="minorBidi"/>
              <w:noProof/>
            </w:rPr>
          </w:pPr>
          <w:hyperlink w:anchor="_Toc352136329" w:history="1">
            <w:r w:rsidR="00C60074" w:rsidRPr="007B3689">
              <w:rPr>
                <w:rStyle w:val="Hyperlink"/>
                <w:b/>
                <w:noProof/>
              </w:rPr>
              <w:t>4.2 Consistency with other laws</w:t>
            </w:r>
            <w:r w:rsidR="00C60074">
              <w:rPr>
                <w:noProof/>
                <w:webHidden/>
              </w:rPr>
              <w:tab/>
            </w:r>
            <w:r>
              <w:rPr>
                <w:noProof/>
                <w:webHidden/>
              </w:rPr>
              <w:fldChar w:fldCharType="begin"/>
            </w:r>
            <w:r w:rsidR="00C60074">
              <w:rPr>
                <w:noProof/>
                <w:webHidden/>
              </w:rPr>
              <w:instrText xml:space="preserve"> PAGEREF _Toc352136329 \h </w:instrText>
            </w:r>
            <w:r>
              <w:rPr>
                <w:noProof/>
                <w:webHidden/>
              </w:rPr>
            </w:r>
            <w:r>
              <w:rPr>
                <w:noProof/>
                <w:webHidden/>
              </w:rPr>
              <w:fldChar w:fldCharType="separate"/>
            </w:r>
            <w:r w:rsidR="00C60074">
              <w:rPr>
                <w:noProof/>
                <w:webHidden/>
              </w:rPr>
              <w:t>3</w:t>
            </w:r>
            <w:r>
              <w:rPr>
                <w:noProof/>
                <w:webHidden/>
              </w:rPr>
              <w:fldChar w:fldCharType="end"/>
            </w:r>
          </w:hyperlink>
        </w:p>
        <w:p w:rsidR="00C60074" w:rsidRDefault="000304CF">
          <w:pPr>
            <w:pStyle w:val="TOC2"/>
            <w:tabs>
              <w:tab w:val="right" w:leader="dot" w:pos="9926"/>
            </w:tabs>
            <w:rPr>
              <w:rFonts w:asciiTheme="minorHAnsi" w:eastAsiaTheme="minorEastAsia" w:hAnsiTheme="minorHAnsi" w:cstheme="minorBidi"/>
              <w:noProof/>
            </w:rPr>
          </w:pPr>
          <w:hyperlink w:anchor="_Toc352136330" w:history="1">
            <w:r w:rsidR="00C60074" w:rsidRPr="007B3689">
              <w:rPr>
                <w:rStyle w:val="Hyperlink"/>
                <w:b/>
                <w:noProof/>
              </w:rPr>
              <w:t>4.3 Project implementation quality assurance</w:t>
            </w:r>
            <w:r w:rsidR="00C60074">
              <w:rPr>
                <w:noProof/>
                <w:webHidden/>
              </w:rPr>
              <w:tab/>
            </w:r>
            <w:r>
              <w:rPr>
                <w:noProof/>
                <w:webHidden/>
              </w:rPr>
              <w:fldChar w:fldCharType="begin"/>
            </w:r>
            <w:r w:rsidR="00C60074">
              <w:rPr>
                <w:noProof/>
                <w:webHidden/>
              </w:rPr>
              <w:instrText xml:space="preserve"> PAGEREF _Toc352136330 \h </w:instrText>
            </w:r>
            <w:r>
              <w:rPr>
                <w:noProof/>
                <w:webHidden/>
              </w:rPr>
            </w:r>
            <w:r>
              <w:rPr>
                <w:noProof/>
                <w:webHidden/>
              </w:rPr>
              <w:fldChar w:fldCharType="separate"/>
            </w:r>
            <w:r w:rsidR="00C60074">
              <w:rPr>
                <w:noProof/>
                <w:webHidden/>
              </w:rPr>
              <w:t>4</w:t>
            </w:r>
            <w:r>
              <w:rPr>
                <w:noProof/>
                <w:webHidden/>
              </w:rPr>
              <w:fldChar w:fldCharType="end"/>
            </w:r>
          </w:hyperlink>
        </w:p>
        <w:p w:rsidR="008C2F65" w:rsidRDefault="000304CF" w:rsidP="00965566">
          <w:pPr>
            <w:pStyle w:val="TOC2"/>
            <w:tabs>
              <w:tab w:val="right" w:leader="dot" w:pos="9926"/>
            </w:tabs>
          </w:pPr>
          <w:hyperlink w:anchor="_Toc352136331" w:history="1">
            <w:r w:rsidR="00C60074" w:rsidRPr="007B3689">
              <w:rPr>
                <w:rStyle w:val="Hyperlink"/>
                <w:b/>
                <w:noProof/>
              </w:rPr>
              <w:t>4.4 Project management plans ; 4.5 Project stewardship requirements</w:t>
            </w:r>
            <w:r w:rsidR="00C60074">
              <w:rPr>
                <w:noProof/>
                <w:webHidden/>
              </w:rPr>
              <w:tab/>
            </w:r>
            <w:r>
              <w:rPr>
                <w:noProof/>
                <w:webHidden/>
              </w:rPr>
              <w:fldChar w:fldCharType="begin"/>
            </w:r>
            <w:r w:rsidR="00C60074">
              <w:rPr>
                <w:noProof/>
                <w:webHidden/>
              </w:rPr>
              <w:instrText xml:space="preserve"> PAGEREF _Toc352136331 \h </w:instrText>
            </w:r>
            <w:r>
              <w:rPr>
                <w:noProof/>
                <w:webHidden/>
              </w:rPr>
            </w:r>
            <w:r>
              <w:rPr>
                <w:noProof/>
                <w:webHidden/>
              </w:rPr>
              <w:fldChar w:fldCharType="separate"/>
            </w:r>
            <w:r w:rsidR="00C60074">
              <w:rPr>
                <w:noProof/>
                <w:webHidden/>
              </w:rPr>
              <w:t>8</w:t>
            </w:r>
            <w:r>
              <w:rPr>
                <w:noProof/>
                <w:webHidden/>
              </w:rPr>
              <w:fldChar w:fldCharType="end"/>
            </w:r>
          </w:hyperlink>
          <w:r>
            <w:rPr>
              <w:b/>
              <w:bCs/>
              <w:noProof/>
            </w:rPr>
            <w:fldChar w:fldCharType="end"/>
          </w:r>
        </w:p>
      </w:sdtContent>
    </w:sdt>
    <w:p w:rsidR="00293864" w:rsidRPr="003E33D3" w:rsidRDefault="00293864" w:rsidP="008C2F65">
      <w:pPr>
        <w:pStyle w:val="Heading2"/>
        <w:rPr>
          <w:b/>
        </w:rPr>
      </w:pPr>
      <w:bookmarkStart w:id="1" w:name="_Toc352136328"/>
      <w:r w:rsidRPr="003E33D3">
        <w:rPr>
          <w:b/>
        </w:rPr>
        <w:t xml:space="preserve">4.1 Site </w:t>
      </w:r>
      <w:r w:rsidR="0064431B">
        <w:rPr>
          <w:b/>
        </w:rPr>
        <w:t>s</w:t>
      </w:r>
      <w:r w:rsidR="0064431B" w:rsidRPr="003E33D3">
        <w:rPr>
          <w:b/>
        </w:rPr>
        <w:t>creening</w:t>
      </w:r>
      <w:r w:rsidRPr="003E33D3">
        <w:rPr>
          <w:b/>
        </w:rPr>
        <w:t>/</w:t>
      </w:r>
      <w:r w:rsidR="00C60074">
        <w:rPr>
          <w:b/>
        </w:rPr>
        <w:t>v</w:t>
      </w:r>
      <w:r w:rsidRPr="003E33D3">
        <w:rPr>
          <w:b/>
        </w:rPr>
        <w:t>alidation</w:t>
      </w:r>
      <w:bookmarkEnd w:id="1"/>
      <w:r w:rsidRPr="003E33D3">
        <w:rPr>
          <w:b/>
        </w:rPr>
        <w:t xml:space="preserve"> </w:t>
      </w:r>
    </w:p>
    <w:p w:rsidR="00293864" w:rsidRDefault="00293864" w:rsidP="00293864">
      <w:pPr>
        <w:pStyle w:val="Default"/>
        <w:spacing w:before="120" w:after="120"/>
        <w:rPr>
          <w:rFonts w:asciiTheme="minorHAnsi" w:hAnsiTheme="minorHAnsi" w:cs="Arial"/>
          <w:bCs/>
        </w:rPr>
      </w:pPr>
      <w:r>
        <w:rPr>
          <w:rFonts w:asciiTheme="minorHAnsi" w:hAnsiTheme="minorHAnsi" w:cs="Arial"/>
          <w:bCs/>
        </w:rPr>
        <w:t xml:space="preserve">Developing a credit project can be costly. An initial site screening can give a project developer, regulatory agency, and NPDES permittee a quick idea of whether a site will meet established eligibility criteria. Not all programs do an initial site screening. Some </w:t>
      </w:r>
      <w:r w:rsidR="00C60074">
        <w:rPr>
          <w:rFonts w:asciiTheme="minorHAnsi" w:hAnsiTheme="minorHAnsi" w:cs="Arial"/>
          <w:bCs/>
        </w:rPr>
        <w:t xml:space="preserve">programs </w:t>
      </w:r>
      <w:r>
        <w:rPr>
          <w:rFonts w:asciiTheme="minorHAnsi" w:hAnsiTheme="minorHAnsi" w:cs="Arial"/>
          <w:bCs/>
        </w:rPr>
        <w:t xml:space="preserve">screen for eligibility as part of verification once there is a design for BMPs and credit estimation complete. </w:t>
      </w:r>
      <w:r w:rsidR="00444A98">
        <w:rPr>
          <w:rFonts w:asciiTheme="minorHAnsi" w:hAnsiTheme="minorHAnsi" w:cs="Arial"/>
          <w:bCs/>
        </w:rPr>
        <w:t>An initial screening of a project could be required as part of a regulatory process, but more often, a screening may be used to provide confidence that projects will generate valid credits later on.</w:t>
      </w:r>
    </w:p>
    <w:p w:rsidR="00293864" w:rsidRDefault="00293864" w:rsidP="00293864">
      <w:pPr>
        <w:pStyle w:val="Default"/>
        <w:spacing w:before="120" w:after="120"/>
        <w:rPr>
          <w:rFonts w:asciiTheme="minorHAnsi" w:hAnsiTheme="minorHAnsi" w:cs="Arial"/>
          <w:bCs/>
        </w:rPr>
      </w:pPr>
      <w:r>
        <w:rPr>
          <w:rFonts w:asciiTheme="minorHAnsi" w:hAnsiTheme="minorHAnsi" w:cs="Arial"/>
          <w:bCs/>
        </w:rPr>
        <w:t>The questions we need to answer are:</w:t>
      </w:r>
    </w:p>
    <w:p w:rsidR="00293864" w:rsidRDefault="00293864" w:rsidP="00293864">
      <w:pPr>
        <w:pStyle w:val="Default"/>
        <w:numPr>
          <w:ilvl w:val="0"/>
          <w:numId w:val="36"/>
        </w:numPr>
        <w:spacing w:before="120" w:after="120"/>
        <w:rPr>
          <w:rFonts w:asciiTheme="minorHAnsi" w:hAnsiTheme="minorHAnsi" w:cs="Arial"/>
          <w:bCs/>
        </w:rPr>
      </w:pPr>
      <w:r>
        <w:rPr>
          <w:rFonts w:asciiTheme="minorHAnsi" w:hAnsiTheme="minorHAnsi" w:cs="Arial"/>
          <w:bCs/>
        </w:rPr>
        <w:t>Is there a need for an initial site screening for eligibility;</w:t>
      </w:r>
    </w:p>
    <w:p w:rsidR="00293864" w:rsidRDefault="00293864" w:rsidP="00293864">
      <w:pPr>
        <w:pStyle w:val="Default"/>
        <w:numPr>
          <w:ilvl w:val="0"/>
          <w:numId w:val="36"/>
        </w:numPr>
        <w:spacing w:before="120" w:after="120"/>
        <w:rPr>
          <w:rFonts w:asciiTheme="minorHAnsi" w:hAnsiTheme="minorHAnsi" w:cs="Arial"/>
          <w:bCs/>
        </w:rPr>
      </w:pPr>
      <w:r>
        <w:rPr>
          <w:rFonts w:asciiTheme="minorHAnsi" w:hAnsiTheme="minorHAnsi" w:cs="Arial"/>
          <w:bCs/>
        </w:rPr>
        <w:t>Who does that screening; and</w:t>
      </w:r>
    </w:p>
    <w:p w:rsidR="00293864" w:rsidRDefault="00293864" w:rsidP="00293864">
      <w:pPr>
        <w:pStyle w:val="Default"/>
        <w:numPr>
          <w:ilvl w:val="0"/>
          <w:numId w:val="36"/>
        </w:numPr>
        <w:spacing w:before="120" w:after="120"/>
        <w:rPr>
          <w:rFonts w:asciiTheme="minorHAnsi" w:hAnsiTheme="minorHAnsi" w:cs="Arial"/>
          <w:bCs/>
        </w:rPr>
      </w:pPr>
      <w:r>
        <w:rPr>
          <w:rFonts w:asciiTheme="minorHAnsi" w:hAnsiTheme="minorHAnsi" w:cs="Arial"/>
          <w:bCs/>
        </w:rPr>
        <w:t>What criteria do they apply?</w:t>
      </w:r>
    </w:p>
    <w:p w:rsidR="00293864" w:rsidRDefault="00293864" w:rsidP="00293864">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p w:rsidR="00293864" w:rsidRDefault="00293864" w:rsidP="00293864">
      <w:pPr>
        <w:pStyle w:val="Default"/>
        <w:spacing w:before="240" w:after="120"/>
        <w:rPr>
          <w:rFonts w:asciiTheme="minorHAnsi" w:hAnsiTheme="minorHAnsi" w:cs="Arial"/>
          <w:bCs/>
          <w:u w:val="single"/>
        </w:rPr>
      </w:pPr>
      <w:r>
        <w:rPr>
          <w:rFonts w:asciiTheme="minorHAnsi" w:hAnsiTheme="minorHAnsi" w:cs="Arial"/>
          <w:bCs/>
          <w:u w:val="single"/>
        </w:rPr>
        <w:t>Is an initial site screening required?</w:t>
      </w:r>
    </w:p>
    <w:p w:rsidR="00293864" w:rsidRDefault="00293864" w:rsidP="00293864">
      <w:pPr>
        <w:pStyle w:val="Default"/>
        <w:spacing w:before="120" w:after="120"/>
        <w:rPr>
          <w:rFonts w:asciiTheme="minorHAnsi" w:hAnsiTheme="minorHAnsi" w:cs="Arial"/>
          <w:bCs/>
          <w:u w:val="single"/>
        </w:rPr>
      </w:pPr>
      <w:r>
        <w:rPr>
          <w:rFonts w:asciiTheme="minorHAnsi" w:hAnsiTheme="minorHAnsi"/>
        </w:rPr>
        <w:t>Requiring an initial site screening gives program administrators the ability to identify potential issues early on, reducing risk for the project developer and helping set projects on the right track from the outset.  Those programs that do not require screening do so both to reduce the costs, and to simplify the number of steps in the approval process.</w:t>
      </w:r>
    </w:p>
    <w:tbl>
      <w:tblPr>
        <w:tblStyle w:val="TableGrid"/>
        <w:tblW w:w="0" w:type="auto"/>
        <w:tblLook w:val="04A0"/>
      </w:tblPr>
      <w:tblGrid>
        <w:gridCol w:w="5076"/>
        <w:gridCol w:w="5076"/>
      </w:tblGrid>
      <w:tr w:rsidR="00293864" w:rsidTr="00220479">
        <w:trPr>
          <w:trHeight w:val="2006"/>
        </w:trPr>
        <w:tc>
          <w:tcPr>
            <w:tcW w:w="5076" w:type="dxa"/>
          </w:tcPr>
          <w:p w:rsidR="00293864" w:rsidRPr="00E441D9" w:rsidRDefault="00293864" w:rsidP="00220479">
            <w:pPr>
              <w:rPr>
                <w:b/>
              </w:rPr>
            </w:pPr>
            <w:r w:rsidRPr="00E441D9">
              <w:rPr>
                <w:b/>
              </w:rPr>
              <w:lastRenderedPageBreak/>
              <w:t>Option A</w:t>
            </w:r>
          </w:p>
          <w:p w:rsidR="00293864" w:rsidRDefault="00293864" w:rsidP="00220479">
            <w:pPr>
              <w:rPr>
                <w:i/>
                <w:color w:val="FF0000"/>
              </w:rPr>
            </w:pPr>
            <w:r>
              <w:rPr>
                <w:i/>
              </w:rPr>
              <w:t xml:space="preserve">The proposed project site must pass an initial screening. </w:t>
            </w:r>
          </w:p>
          <w:p w:rsidR="00293864" w:rsidRDefault="00293864" w:rsidP="00220479">
            <w:pPr>
              <w:rPr>
                <w:rFonts w:asciiTheme="minorHAnsi" w:hAnsiTheme="minorHAnsi"/>
                <w:i/>
              </w:rPr>
            </w:pPr>
          </w:p>
          <w:p w:rsidR="00293864" w:rsidRDefault="00293864" w:rsidP="00220479">
            <w:pPr>
              <w:rPr>
                <w:rFonts w:asciiTheme="minorHAnsi" w:hAnsiTheme="minorHAnsi"/>
                <w:b/>
              </w:rPr>
            </w:pPr>
            <w:r>
              <w:rPr>
                <w:rFonts w:asciiTheme="minorHAnsi" w:hAnsiTheme="minorHAnsi"/>
                <w:b/>
              </w:rPr>
              <w:t>Who does it this way?</w:t>
            </w:r>
          </w:p>
          <w:p w:rsidR="00293864" w:rsidRDefault="00293864" w:rsidP="00220479">
            <w:pPr>
              <w:rPr>
                <w:rFonts w:asciiTheme="minorHAnsi" w:hAnsiTheme="minorHAnsi" w:cs="Arial"/>
                <w:bCs/>
                <w:u w:val="single"/>
              </w:rPr>
            </w:pPr>
            <w:r>
              <w:rPr>
                <w:rFonts w:asciiTheme="minorHAnsi" w:hAnsiTheme="minorHAnsi"/>
              </w:rPr>
              <w:t xml:space="preserve">The Medford trades need to pass an initial site screening. </w:t>
            </w:r>
            <w:r w:rsidR="00444A98">
              <w:rPr>
                <w:rFonts w:asciiTheme="minorHAnsi" w:hAnsiTheme="minorHAnsi"/>
              </w:rPr>
              <w:t>DEQ does not require the screen, but Willamette Partnership does as part of its administration process.</w:t>
            </w:r>
          </w:p>
        </w:tc>
        <w:tc>
          <w:tcPr>
            <w:tcW w:w="5076" w:type="dxa"/>
          </w:tcPr>
          <w:p w:rsidR="00293864" w:rsidRPr="00E441D9" w:rsidRDefault="00293864" w:rsidP="00220479">
            <w:pPr>
              <w:rPr>
                <w:b/>
              </w:rPr>
            </w:pPr>
            <w:r>
              <w:rPr>
                <w:b/>
              </w:rPr>
              <w:t>Option B</w:t>
            </w:r>
          </w:p>
          <w:p w:rsidR="00293864" w:rsidRDefault="00444A98" w:rsidP="00220479">
            <w:pPr>
              <w:rPr>
                <w:rFonts w:asciiTheme="minorHAnsi" w:hAnsiTheme="minorHAnsi"/>
                <w:i/>
              </w:rPr>
            </w:pPr>
            <w:r>
              <w:rPr>
                <w:rFonts w:asciiTheme="minorHAnsi" w:hAnsiTheme="minorHAnsi"/>
                <w:i/>
              </w:rPr>
              <w:t xml:space="preserve">An initial </w:t>
            </w:r>
            <w:r w:rsidR="00293864">
              <w:rPr>
                <w:rFonts w:asciiTheme="minorHAnsi" w:hAnsiTheme="minorHAnsi"/>
                <w:i/>
              </w:rPr>
              <w:t xml:space="preserve">screening </w:t>
            </w:r>
            <w:r>
              <w:rPr>
                <w:rFonts w:asciiTheme="minorHAnsi" w:hAnsiTheme="minorHAnsi"/>
                <w:i/>
              </w:rPr>
              <w:t xml:space="preserve">is a voluntary option to project developers, but </w:t>
            </w:r>
            <w:r w:rsidR="00293864">
              <w:rPr>
                <w:rFonts w:asciiTheme="minorHAnsi" w:hAnsiTheme="minorHAnsi"/>
                <w:i/>
              </w:rPr>
              <w:t xml:space="preserve">is </w:t>
            </w:r>
            <w:r>
              <w:rPr>
                <w:rFonts w:asciiTheme="minorHAnsi" w:hAnsiTheme="minorHAnsi"/>
                <w:i/>
              </w:rPr>
              <w:t xml:space="preserve">not </w:t>
            </w:r>
            <w:r w:rsidR="00293864">
              <w:rPr>
                <w:rFonts w:asciiTheme="minorHAnsi" w:hAnsiTheme="minorHAnsi"/>
                <w:i/>
              </w:rPr>
              <w:t>required until verification.</w:t>
            </w:r>
          </w:p>
          <w:p w:rsidR="00293864" w:rsidRDefault="00293864" w:rsidP="00220479">
            <w:pPr>
              <w:rPr>
                <w:rFonts w:asciiTheme="minorHAnsi" w:hAnsiTheme="minorHAnsi"/>
                <w:i/>
              </w:rPr>
            </w:pPr>
          </w:p>
          <w:p w:rsidR="00293864" w:rsidRDefault="00293864" w:rsidP="00220479">
            <w:pPr>
              <w:rPr>
                <w:rFonts w:asciiTheme="minorHAnsi" w:hAnsiTheme="minorHAnsi"/>
                <w:b/>
              </w:rPr>
            </w:pPr>
            <w:r w:rsidRPr="00E441D9">
              <w:rPr>
                <w:rFonts w:asciiTheme="minorHAnsi" w:hAnsiTheme="minorHAnsi"/>
                <w:b/>
              </w:rPr>
              <w:t>Who does it this way?</w:t>
            </w:r>
          </w:p>
          <w:p w:rsidR="00293864" w:rsidRDefault="00293864" w:rsidP="00220479">
            <w:pPr>
              <w:pStyle w:val="Default"/>
              <w:spacing w:after="120"/>
              <w:rPr>
                <w:rFonts w:asciiTheme="minorHAnsi" w:hAnsiTheme="minorHAnsi" w:cs="Arial"/>
                <w:bCs/>
                <w:u w:val="single"/>
              </w:rPr>
            </w:pPr>
            <w:r>
              <w:rPr>
                <w:rFonts w:asciiTheme="minorHAnsi" w:hAnsiTheme="minorHAnsi"/>
              </w:rPr>
              <w:t>Many trading programs screen for eligibility at the time of verification.</w:t>
            </w:r>
          </w:p>
        </w:tc>
      </w:tr>
    </w:tbl>
    <w:p w:rsidR="00293864" w:rsidRDefault="00293864" w:rsidP="00293864">
      <w:pPr>
        <w:pStyle w:val="Default"/>
        <w:spacing w:before="240" w:after="120"/>
        <w:rPr>
          <w:rFonts w:asciiTheme="minorHAnsi" w:hAnsiTheme="minorHAnsi" w:cs="Arial"/>
          <w:bCs/>
          <w:u w:val="single"/>
        </w:rPr>
      </w:pPr>
      <w:r>
        <w:rPr>
          <w:rFonts w:asciiTheme="minorHAnsi" w:hAnsiTheme="minorHAnsi" w:cs="Arial"/>
          <w:bCs/>
          <w:u w:val="single"/>
        </w:rPr>
        <w:t>Who does the screening?</w:t>
      </w:r>
    </w:p>
    <w:p w:rsidR="00293864" w:rsidRDefault="00293864" w:rsidP="00293864">
      <w:pPr>
        <w:pStyle w:val="Default"/>
        <w:spacing w:before="120" w:after="120"/>
        <w:rPr>
          <w:rFonts w:asciiTheme="minorHAnsi" w:hAnsiTheme="minorHAnsi" w:cs="Arial"/>
          <w:bCs/>
          <w:u w:val="single"/>
        </w:rPr>
      </w:pPr>
      <w:r>
        <w:rPr>
          <w:rFonts w:asciiTheme="minorHAnsi" w:hAnsiTheme="minorHAnsi"/>
        </w:rPr>
        <w:t xml:space="preserve">Whichever party conducts site screening will need to invest internally in trained staff to understand and can interpret eligibility standards. </w:t>
      </w:r>
      <w:r>
        <w:rPr>
          <w:rFonts w:asciiTheme="minorHAnsi" w:hAnsiTheme="minorHAnsi" w:cs="Arial"/>
          <w:bCs/>
        </w:rPr>
        <w:t>Use of third parties</w:t>
      </w:r>
      <w:r w:rsidRPr="00262A89">
        <w:rPr>
          <w:rFonts w:asciiTheme="minorHAnsi" w:hAnsiTheme="minorHAnsi" w:cs="Arial"/>
          <w:bCs/>
        </w:rPr>
        <w:t xml:space="preserve"> insulates the verification process from fluctuations in agency budgets.</w:t>
      </w:r>
    </w:p>
    <w:tbl>
      <w:tblPr>
        <w:tblStyle w:val="TableGrid"/>
        <w:tblW w:w="0" w:type="auto"/>
        <w:tblLook w:val="04A0"/>
      </w:tblPr>
      <w:tblGrid>
        <w:gridCol w:w="5076"/>
        <w:gridCol w:w="5076"/>
      </w:tblGrid>
      <w:tr w:rsidR="00293864" w:rsidTr="00220479">
        <w:trPr>
          <w:trHeight w:val="620"/>
        </w:trPr>
        <w:tc>
          <w:tcPr>
            <w:tcW w:w="5076" w:type="dxa"/>
          </w:tcPr>
          <w:p w:rsidR="00293864" w:rsidRPr="00E441D9" w:rsidRDefault="00293864" w:rsidP="00220479">
            <w:pPr>
              <w:rPr>
                <w:b/>
              </w:rPr>
            </w:pPr>
            <w:r w:rsidRPr="00E441D9">
              <w:rPr>
                <w:b/>
              </w:rPr>
              <w:t>Option A</w:t>
            </w:r>
          </w:p>
          <w:p w:rsidR="00293864" w:rsidRDefault="00293864" w:rsidP="00220479">
            <w:pPr>
              <w:rPr>
                <w:rFonts w:asciiTheme="minorHAnsi" w:hAnsiTheme="minorHAnsi"/>
                <w:i/>
              </w:rPr>
            </w:pPr>
            <w:r>
              <w:rPr>
                <w:rFonts w:asciiTheme="minorHAnsi" w:hAnsiTheme="minorHAnsi"/>
                <w:i/>
              </w:rPr>
              <w:t>A third party does the screening.</w:t>
            </w:r>
          </w:p>
          <w:p w:rsidR="00293864" w:rsidRDefault="00293864" w:rsidP="00220479">
            <w:pPr>
              <w:rPr>
                <w:rFonts w:asciiTheme="minorHAnsi" w:hAnsiTheme="minorHAnsi"/>
                <w:i/>
              </w:rPr>
            </w:pPr>
          </w:p>
          <w:p w:rsidR="00293864" w:rsidRDefault="00293864" w:rsidP="00220479">
            <w:pPr>
              <w:rPr>
                <w:rFonts w:asciiTheme="minorHAnsi" w:hAnsiTheme="minorHAnsi"/>
                <w:b/>
              </w:rPr>
            </w:pPr>
            <w:r>
              <w:rPr>
                <w:rFonts w:asciiTheme="minorHAnsi" w:hAnsiTheme="minorHAnsi"/>
                <w:b/>
              </w:rPr>
              <w:t>Who does it this way?</w:t>
            </w:r>
          </w:p>
          <w:p w:rsidR="00293864" w:rsidRDefault="00293864" w:rsidP="00220479">
            <w:pPr>
              <w:rPr>
                <w:rFonts w:asciiTheme="minorHAnsi" w:hAnsiTheme="minorHAnsi" w:cs="Arial"/>
                <w:bCs/>
                <w:u w:val="single"/>
              </w:rPr>
            </w:pPr>
            <w:r>
              <w:rPr>
                <w:rFonts w:asciiTheme="minorHAnsi" w:hAnsiTheme="minorHAnsi"/>
              </w:rPr>
              <w:t xml:space="preserve">In Medford, Willamette Partnership does the screening. </w:t>
            </w:r>
          </w:p>
        </w:tc>
        <w:tc>
          <w:tcPr>
            <w:tcW w:w="5076" w:type="dxa"/>
          </w:tcPr>
          <w:p w:rsidR="00293864" w:rsidRPr="00E441D9" w:rsidRDefault="00293864" w:rsidP="00220479">
            <w:pPr>
              <w:rPr>
                <w:b/>
              </w:rPr>
            </w:pPr>
            <w:r>
              <w:rPr>
                <w:b/>
              </w:rPr>
              <w:t>Option B</w:t>
            </w:r>
          </w:p>
          <w:p w:rsidR="00293864" w:rsidRDefault="00293864" w:rsidP="00220479">
            <w:pPr>
              <w:rPr>
                <w:rFonts w:asciiTheme="minorHAnsi" w:hAnsiTheme="minorHAnsi"/>
                <w:i/>
              </w:rPr>
            </w:pPr>
            <w:r>
              <w:rPr>
                <w:rFonts w:asciiTheme="minorHAnsi" w:hAnsiTheme="minorHAnsi"/>
                <w:i/>
              </w:rPr>
              <w:t>A state agency does the screening.</w:t>
            </w:r>
          </w:p>
          <w:p w:rsidR="00293864" w:rsidRDefault="00293864" w:rsidP="00220479">
            <w:pPr>
              <w:rPr>
                <w:rFonts w:asciiTheme="minorHAnsi" w:hAnsiTheme="minorHAnsi"/>
                <w:i/>
              </w:rPr>
            </w:pPr>
          </w:p>
          <w:p w:rsidR="00293864" w:rsidRDefault="00293864" w:rsidP="00220479">
            <w:pPr>
              <w:rPr>
                <w:rFonts w:asciiTheme="minorHAnsi" w:hAnsiTheme="minorHAnsi"/>
                <w:b/>
              </w:rPr>
            </w:pPr>
            <w:r>
              <w:rPr>
                <w:rFonts w:asciiTheme="minorHAnsi" w:hAnsiTheme="minorHAnsi"/>
                <w:b/>
              </w:rPr>
              <w:t>Who does it this way?</w:t>
            </w:r>
          </w:p>
          <w:p w:rsidR="00293864" w:rsidRPr="004540A2" w:rsidRDefault="00293864" w:rsidP="00220479">
            <w:r>
              <w:t>In Ohio</w:t>
            </w:r>
            <w:r w:rsidR="00C60074">
              <w:t>,</w:t>
            </w:r>
            <w:r>
              <w:t xml:space="preserve"> state DNRs do the screening.</w:t>
            </w:r>
          </w:p>
        </w:tc>
      </w:tr>
      <w:tr w:rsidR="00293864" w:rsidTr="00220479">
        <w:trPr>
          <w:trHeight w:val="1700"/>
        </w:trPr>
        <w:tc>
          <w:tcPr>
            <w:tcW w:w="5076" w:type="dxa"/>
          </w:tcPr>
          <w:p w:rsidR="00293864" w:rsidRPr="00E441D9" w:rsidRDefault="00293864" w:rsidP="00220479">
            <w:pPr>
              <w:rPr>
                <w:b/>
              </w:rPr>
            </w:pPr>
            <w:r>
              <w:rPr>
                <w:b/>
              </w:rPr>
              <w:t>Option C</w:t>
            </w:r>
          </w:p>
          <w:p w:rsidR="00293864" w:rsidRDefault="00293864" w:rsidP="00220479">
            <w:pPr>
              <w:rPr>
                <w:rFonts w:asciiTheme="minorHAnsi" w:hAnsiTheme="minorHAnsi"/>
                <w:i/>
              </w:rPr>
            </w:pPr>
            <w:r>
              <w:rPr>
                <w:rFonts w:asciiTheme="minorHAnsi" w:hAnsiTheme="minorHAnsi"/>
                <w:i/>
              </w:rPr>
              <w:t>The NPDES permittee does the screening.</w:t>
            </w:r>
          </w:p>
          <w:p w:rsidR="00293864" w:rsidRDefault="00293864" w:rsidP="00220479">
            <w:pPr>
              <w:rPr>
                <w:rFonts w:asciiTheme="minorHAnsi" w:hAnsiTheme="minorHAnsi"/>
                <w:i/>
              </w:rPr>
            </w:pPr>
          </w:p>
          <w:p w:rsidR="00293864" w:rsidRDefault="00293864" w:rsidP="00220479">
            <w:pPr>
              <w:rPr>
                <w:rFonts w:asciiTheme="minorHAnsi" w:hAnsiTheme="minorHAnsi"/>
                <w:b/>
              </w:rPr>
            </w:pPr>
            <w:r>
              <w:rPr>
                <w:rFonts w:asciiTheme="minorHAnsi" w:hAnsiTheme="minorHAnsi"/>
                <w:b/>
              </w:rPr>
              <w:t>Who does it this way?</w:t>
            </w:r>
          </w:p>
          <w:p w:rsidR="00293864" w:rsidRPr="00AD07D1" w:rsidRDefault="00293864" w:rsidP="00444A98">
            <w:r>
              <w:t>In the Tualatin, Clean Water Services does the screening.</w:t>
            </w:r>
            <w:r w:rsidR="00444A98">
              <w:t xml:space="preserve"> </w:t>
            </w:r>
          </w:p>
        </w:tc>
        <w:tc>
          <w:tcPr>
            <w:tcW w:w="5076" w:type="dxa"/>
          </w:tcPr>
          <w:p w:rsidR="00444A98" w:rsidRPr="00E441D9" w:rsidRDefault="00444A98" w:rsidP="00444A98">
            <w:pPr>
              <w:rPr>
                <w:b/>
              </w:rPr>
            </w:pPr>
            <w:r>
              <w:rPr>
                <w:b/>
              </w:rPr>
              <w:t>Option D</w:t>
            </w:r>
          </w:p>
          <w:p w:rsidR="00444A98" w:rsidRDefault="00444A98" w:rsidP="00444A98">
            <w:pPr>
              <w:rPr>
                <w:rFonts w:asciiTheme="minorHAnsi" w:hAnsiTheme="minorHAnsi"/>
                <w:i/>
              </w:rPr>
            </w:pPr>
            <w:r>
              <w:rPr>
                <w:rFonts w:asciiTheme="minorHAnsi" w:hAnsiTheme="minorHAnsi"/>
                <w:i/>
              </w:rPr>
              <w:t>BMP types are pre-approved by a program, and all projects using that BMP are eligible.</w:t>
            </w:r>
          </w:p>
          <w:p w:rsidR="00444A98" w:rsidRDefault="00444A98" w:rsidP="00444A98">
            <w:pPr>
              <w:rPr>
                <w:rFonts w:asciiTheme="minorHAnsi" w:hAnsiTheme="minorHAnsi"/>
                <w:i/>
              </w:rPr>
            </w:pPr>
          </w:p>
          <w:p w:rsidR="00444A98" w:rsidRDefault="00444A98" w:rsidP="00444A98">
            <w:pPr>
              <w:rPr>
                <w:rFonts w:asciiTheme="minorHAnsi" w:hAnsiTheme="minorHAnsi"/>
                <w:b/>
              </w:rPr>
            </w:pPr>
            <w:r>
              <w:rPr>
                <w:rFonts w:asciiTheme="minorHAnsi" w:hAnsiTheme="minorHAnsi"/>
                <w:b/>
              </w:rPr>
              <w:t>Who does it this way?</w:t>
            </w:r>
          </w:p>
          <w:p w:rsidR="00444A98" w:rsidRPr="005E5519" w:rsidRDefault="00444A98" w:rsidP="00220479">
            <w:pPr>
              <w:pStyle w:val="Default"/>
              <w:spacing w:before="120" w:after="120"/>
              <w:rPr>
                <w:rFonts w:asciiTheme="minorHAnsi" w:hAnsiTheme="minorHAnsi" w:cstheme="minorHAnsi"/>
                <w:bCs/>
                <w:u w:val="single"/>
              </w:rPr>
            </w:pPr>
            <w:r w:rsidRPr="005E5519">
              <w:rPr>
                <w:rFonts w:asciiTheme="minorHAnsi" w:hAnsiTheme="minorHAnsi" w:cstheme="minorHAnsi"/>
              </w:rPr>
              <w:t>The Boise river program would have compared proposed trades to a list of pre-approved BMPs.</w:t>
            </w:r>
          </w:p>
        </w:tc>
      </w:tr>
    </w:tbl>
    <w:p w:rsidR="00293864" w:rsidRDefault="00293864" w:rsidP="005E5519">
      <w:pPr>
        <w:pStyle w:val="Default"/>
        <w:spacing w:before="240" w:after="120"/>
        <w:rPr>
          <w:rFonts w:asciiTheme="minorHAnsi" w:hAnsiTheme="minorHAnsi" w:cs="Arial"/>
          <w:bCs/>
          <w:noProof/>
        </w:rPr>
      </w:pPr>
      <w:r>
        <w:rPr>
          <w:rFonts w:asciiTheme="minorHAnsi" w:hAnsiTheme="minorHAnsi" w:cs="Arial"/>
          <w:bCs/>
          <w:u w:val="single"/>
        </w:rPr>
        <w:t>What is reviewed?</w:t>
      </w:r>
      <w:r w:rsidRPr="007F7496">
        <w:rPr>
          <w:rFonts w:asciiTheme="minorHAnsi" w:hAnsiTheme="minorHAnsi" w:cs="Arial"/>
          <w:bCs/>
          <w:noProof/>
        </w:rPr>
        <w:t xml:space="preserve"> </w:t>
      </w:r>
    </w:p>
    <w:p w:rsidR="00293864" w:rsidRDefault="00293864" w:rsidP="00293864">
      <w:pPr>
        <w:pStyle w:val="Default"/>
        <w:spacing w:before="120" w:after="120"/>
        <w:rPr>
          <w:rFonts w:asciiTheme="minorHAnsi" w:hAnsiTheme="minorHAnsi"/>
        </w:rPr>
      </w:pPr>
      <w:r>
        <w:rPr>
          <w:rFonts w:asciiTheme="minorHAnsi" w:hAnsiTheme="minorHAnsi"/>
        </w:rPr>
        <w:t xml:space="preserve">Where more information is reviewed early on, the project developer gets greater assurance that the project is likely to be eligible, </w:t>
      </w:r>
      <w:r w:rsidR="00C60074">
        <w:rPr>
          <w:rFonts w:asciiTheme="minorHAnsi" w:hAnsiTheme="minorHAnsi"/>
        </w:rPr>
        <w:t xml:space="preserve">that </w:t>
      </w:r>
      <w:r>
        <w:rPr>
          <w:rFonts w:asciiTheme="minorHAnsi" w:hAnsiTheme="minorHAnsi"/>
        </w:rPr>
        <w:t xml:space="preserve">preliminary credit calculations were done correctly, and that potential red flags have been identified. Willamette Partnership has found that eligibility screening covering the projects </w:t>
      </w:r>
      <w:r w:rsidRPr="004540A2">
        <w:rPr>
          <w:rFonts w:asciiTheme="minorHAnsi" w:hAnsiTheme="minorHAnsi"/>
        </w:rPr>
        <w:t>additionality, suitability, sustainability, and credit calculation assumptions</w:t>
      </w:r>
      <w:r>
        <w:rPr>
          <w:rFonts w:asciiTheme="minorHAnsi" w:hAnsiTheme="minorHAnsi"/>
        </w:rPr>
        <w:t xml:space="preserve"> (Option A) takes 2-4 hours for straightforward projects. Where eligibility is complicated and requires interpretation of eligibility requirements or development of nuanced standards, screening is longer and more involved </w:t>
      </w:r>
      <w:r w:rsidR="00C60074">
        <w:rPr>
          <w:rFonts w:asciiTheme="minorHAnsi" w:hAnsiTheme="minorHAnsi"/>
        </w:rPr>
        <w:t>(</w:t>
      </w:r>
      <w:r>
        <w:rPr>
          <w:rFonts w:asciiTheme="minorHAnsi" w:hAnsiTheme="minorHAnsi"/>
        </w:rPr>
        <w:t>however</w:t>
      </w:r>
      <w:r w:rsidR="00C60074">
        <w:rPr>
          <w:rFonts w:asciiTheme="minorHAnsi" w:hAnsiTheme="minorHAnsi"/>
        </w:rPr>
        <w:t>,</w:t>
      </w:r>
      <w:r>
        <w:rPr>
          <w:rFonts w:asciiTheme="minorHAnsi" w:hAnsiTheme="minorHAnsi"/>
        </w:rPr>
        <w:t xml:space="preserve"> this process would have occurred in verification</w:t>
      </w:r>
      <w:r w:rsidR="00C60074">
        <w:rPr>
          <w:rFonts w:asciiTheme="minorHAnsi" w:hAnsiTheme="minorHAnsi"/>
        </w:rPr>
        <w:t>, if not here).</w:t>
      </w:r>
    </w:p>
    <w:p w:rsidR="00293864" w:rsidRPr="004540A2" w:rsidRDefault="00293864" w:rsidP="00293864">
      <w:pPr>
        <w:pStyle w:val="Default"/>
        <w:spacing w:before="120" w:after="120"/>
        <w:rPr>
          <w:rFonts w:asciiTheme="minorHAnsi" w:hAnsiTheme="minorHAnsi"/>
        </w:rPr>
      </w:pPr>
      <w:r>
        <w:rPr>
          <w:rFonts w:asciiTheme="minorHAnsi" w:hAnsiTheme="minorHAnsi"/>
        </w:rPr>
        <w:t xml:space="preserve">Including a site visit as part of the screening would provide a greater understanding of the site for the validator, who could then provide </w:t>
      </w:r>
      <w:r w:rsidR="00C60074">
        <w:rPr>
          <w:rFonts w:asciiTheme="minorHAnsi" w:hAnsiTheme="minorHAnsi"/>
        </w:rPr>
        <w:t xml:space="preserve">even </w:t>
      </w:r>
      <w:r>
        <w:rPr>
          <w:rFonts w:asciiTheme="minorHAnsi" w:hAnsiTheme="minorHAnsi"/>
        </w:rPr>
        <w:t xml:space="preserve">more confidence around the site’s eligibility to generate credits. Site visits take 2-4 hours, plus travel to the site.  </w:t>
      </w:r>
    </w:p>
    <w:tbl>
      <w:tblPr>
        <w:tblStyle w:val="TableGrid"/>
        <w:tblW w:w="0" w:type="auto"/>
        <w:tblLook w:val="04A0"/>
      </w:tblPr>
      <w:tblGrid>
        <w:gridCol w:w="5076"/>
        <w:gridCol w:w="5076"/>
      </w:tblGrid>
      <w:tr w:rsidR="004F1900" w:rsidTr="004F1900">
        <w:trPr>
          <w:trHeight w:val="1673"/>
        </w:trPr>
        <w:tc>
          <w:tcPr>
            <w:tcW w:w="5076" w:type="dxa"/>
            <w:vMerge w:val="restart"/>
          </w:tcPr>
          <w:p w:rsidR="004F1900" w:rsidRPr="00E441D9" w:rsidRDefault="004F1900" w:rsidP="00220479">
            <w:pPr>
              <w:rPr>
                <w:b/>
              </w:rPr>
            </w:pPr>
            <w:r w:rsidRPr="00E441D9">
              <w:rPr>
                <w:b/>
              </w:rPr>
              <w:t>Option A</w:t>
            </w:r>
          </w:p>
          <w:p w:rsidR="004F1900" w:rsidRDefault="00444A98" w:rsidP="00220479">
            <w:pPr>
              <w:rPr>
                <w:rFonts w:asciiTheme="minorHAnsi" w:hAnsiTheme="minorHAnsi"/>
                <w:i/>
              </w:rPr>
            </w:pPr>
            <w:r w:rsidRPr="00444A98">
              <w:rPr>
                <w:rFonts w:asciiTheme="minorHAnsi" w:hAnsiTheme="minorHAnsi"/>
                <w:i/>
              </w:rPr>
              <w:t xml:space="preserve">The screening organization looks at a project’s documents for additionality, suitability, sustainability, and credit calculation assumptions using a set checklist. The screen also confirms ownership of land and credits. It is assumed that information provided is </w:t>
            </w:r>
            <w:r w:rsidRPr="00444A98">
              <w:rPr>
                <w:rFonts w:asciiTheme="minorHAnsi" w:hAnsiTheme="minorHAnsi"/>
                <w:i/>
              </w:rPr>
              <w:lastRenderedPageBreak/>
              <w:t xml:space="preserve">accurate and </w:t>
            </w:r>
            <w:r w:rsidR="0064431B" w:rsidRPr="00444A98">
              <w:rPr>
                <w:rFonts w:asciiTheme="minorHAnsi" w:hAnsiTheme="minorHAnsi"/>
                <w:i/>
              </w:rPr>
              <w:t>complete;</w:t>
            </w:r>
            <w:r w:rsidRPr="00444A98">
              <w:rPr>
                <w:rFonts w:asciiTheme="minorHAnsi" w:hAnsiTheme="minorHAnsi"/>
                <w:i/>
              </w:rPr>
              <w:t xml:space="preserve"> no site visit is conducted to confirm information until the step for credit verification occurs.</w:t>
            </w:r>
          </w:p>
          <w:p w:rsidR="00444A98" w:rsidRDefault="00444A98" w:rsidP="00220479">
            <w:pPr>
              <w:rPr>
                <w:rFonts w:asciiTheme="minorHAnsi" w:hAnsiTheme="minorHAnsi"/>
                <w:i/>
              </w:rPr>
            </w:pPr>
          </w:p>
          <w:p w:rsidR="004F1900" w:rsidRDefault="004F1900" w:rsidP="00220479">
            <w:pPr>
              <w:rPr>
                <w:rFonts w:asciiTheme="minorHAnsi" w:hAnsiTheme="minorHAnsi"/>
                <w:b/>
              </w:rPr>
            </w:pPr>
            <w:r>
              <w:rPr>
                <w:rFonts w:asciiTheme="minorHAnsi" w:hAnsiTheme="minorHAnsi"/>
                <w:b/>
              </w:rPr>
              <w:t>Who does it this way?</w:t>
            </w:r>
          </w:p>
          <w:p w:rsidR="004F1900" w:rsidRPr="004540A2" w:rsidRDefault="004F1900" w:rsidP="00220479">
            <w:pPr>
              <w:spacing w:after="120"/>
            </w:pPr>
            <w:r>
              <w:rPr>
                <w:rFonts w:asciiTheme="minorHAnsi" w:hAnsiTheme="minorHAnsi"/>
              </w:rPr>
              <w:t>Willamette Partnership uses its validation checklist to review projects.</w:t>
            </w:r>
            <w:r>
              <w:rPr>
                <w:rStyle w:val="FootnoteReference"/>
                <w:rFonts w:asciiTheme="minorHAnsi" w:hAnsiTheme="minorHAnsi"/>
              </w:rPr>
              <w:footnoteReference w:id="1"/>
            </w:r>
            <w:r>
              <w:rPr>
                <w:rFonts w:asciiTheme="minorHAnsi" w:hAnsiTheme="minorHAnsi"/>
              </w:rPr>
              <w:t xml:space="preserve"> </w:t>
            </w:r>
          </w:p>
        </w:tc>
        <w:tc>
          <w:tcPr>
            <w:tcW w:w="5076" w:type="dxa"/>
            <w:tcBorders>
              <w:bottom w:val="single" w:sz="4" w:space="0" w:color="auto"/>
            </w:tcBorders>
          </w:tcPr>
          <w:p w:rsidR="004F1900" w:rsidRPr="00E441D9" w:rsidRDefault="004F1900" w:rsidP="00220479">
            <w:pPr>
              <w:rPr>
                <w:b/>
              </w:rPr>
            </w:pPr>
            <w:r>
              <w:rPr>
                <w:b/>
              </w:rPr>
              <w:lastRenderedPageBreak/>
              <w:t>Option B</w:t>
            </w:r>
          </w:p>
          <w:p w:rsidR="004F1900" w:rsidRDefault="004F1900" w:rsidP="00220479">
            <w:pPr>
              <w:rPr>
                <w:rFonts w:asciiTheme="minorHAnsi" w:hAnsiTheme="minorHAnsi"/>
                <w:i/>
              </w:rPr>
            </w:pPr>
            <w:r>
              <w:rPr>
                <w:rFonts w:asciiTheme="minorHAnsi" w:hAnsiTheme="minorHAnsi"/>
                <w:i/>
              </w:rPr>
              <w:t>A site visit is conducted to independently confirm validation information.</w:t>
            </w:r>
          </w:p>
          <w:p w:rsidR="004F1900" w:rsidRDefault="004F1900" w:rsidP="00220479">
            <w:pPr>
              <w:rPr>
                <w:rFonts w:asciiTheme="minorHAnsi" w:hAnsiTheme="minorHAnsi"/>
                <w:i/>
              </w:rPr>
            </w:pPr>
          </w:p>
          <w:p w:rsidR="004F1900" w:rsidRDefault="004F1900" w:rsidP="00220479">
            <w:pPr>
              <w:rPr>
                <w:rFonts w:asciiTheme="minorHAnsi" w:hAnsiTheme="minorHAnsi"/>
                <w:b/>
              </w:rPr>
            </w:pPr>
            <w:r>
              <w:rPr>
                <w:rFonts w:asciiTheme="minorHAnsi" w:hAnsiTheme="minorHAnsi"/>
                <w:b/>
              </w:rPr>
              <w:t>Who does it this way?</w:t>
            </w:r>
          </w:p>
          <w:p w:rsidR="004F1900" w:rsidRDefault="004F1900" w:rsidP="00220479">
            <w:pPr>
              <w:rPr>
                <w:rFonts w:asciiTheme="minorHAnsi" w:hAnsiTheme="minorHAnsi" w:cs="Arial"/>
                <w:bCs/>
                <w:u w:val="single"/>
              </w:rPr>
            </w:pPr>
            <w:r>
              <w:rPr>
                <w:rFonts w:asciiTheme="minorHAnsi" w:hAnsiTheme="minorHAnsi"/>
              </w:rPr>
              <w:t xml:space="preserve">We do not know of programs that do this—primarily </w:t>
            </w:r>
            <w:r>
              <w:rPr>
                <w:rFonts w:asciiTheme="minorHAnsi" w:hAnsiTheme="minorHAnsi"/>
              </w:rPr>
              <w:lastRenderedPageBreak/>
              <w:t xml:space="preserve">because of the additional cost involved. </w:t>
            </w:r>
          </w:p>
        </w:tc>
      </w:tr>
      <w:tr w:rsidR="004F1900" w:rsidTr="00220479">
        <w:trPr>
          <w:trHeight w:val="1672"/>
        </w:trPr>
        <w:tc>
          <w:tcPr>
            <w:tcW w:w="5076" w:type="dxa"/>
            <w:vMerge/>
          </w:tcPr>
          <w:p w:rsidR="004F1900" w:rsidRPr="00E441D9" w:rsidRDefault="004F1900" w:rsidP="00220479">
            <w:pPr>
              <w:rPr>
                <w:b/>
              </w:rPr>
            </w:pPr>
          </w:p>
        </w:tc>
        <w:tc>
          <w:tcPr>
            <w:tcW w:w="5076" w:type="dxa"/>
            <w:tcBorders>
              <w:bottom w:val="single" w:sz="4" w:space="0" w:color="auto"/>
            </w:tcBorders>
          </w:tcPr>
          <w:p w:rsidR="004F1900" w:rsidRPr="00E441D9" w:rsidRDefault="004F1900" w:rsidP="004F1900">
            <w:pPr>
              <w:rPr>
                <w:b/>
              </w:rPr>
            </w:pPr>
            <w:r>
              <w:rPr>
                <w:b/>
              </w:rPr>
              <w:t>Option C</w:t>
            </w:r>
          </w:p>
          <w:p w:rsidR="004F1900" w:rsidRDefault="004F1900" w:rsidP="004F1900">
            <w:pPr>
              <w:rPr>
                <w:rFonts w:asciiTheme="minorHAnsi" w:hAnsiTheme="minorHAnsi"/>
                <w:i/>
              </w:rPr>
            </w:pPr>
            <w:r>
              <w:rPr>
                <w:rFonts w:asciiTheme="minorHAnsi" w:hAnsiTheme="minorHAnsi"/>
                <w:i/>
              </w:rPr>
              <w:t>The project screen evaluates less information.</w:t>
            </w:r>
          </w:p>
          <w:p w:rsidR="004F1900" w:rsidRDefault="004F1900" w:rsidP="004F1900">
            <w:pPr>
              <w:rPr>
                <w:rFonts w:asciiTheme="minorHAnsi" w:hAnsiTheme="minorHAnsi"/>
                <w:i/>
              </w:rPr>
            </w:pPr>
          </w:p>
          <w:p w:rsidR="004F1900" w:rsidRDefault="004F1900" w:rsidP="004F1900">
            <w:pPr>
              <w:rPr>
                <w:rFonts w:asciiTheme="minorHAnsi" w:hAnsiTheme="minorHAnsi"/>
                <w:b/>
              </w:rPr>
            </w:pPr>
            <w:r>
              <w:rPr>
                <w:rFonts w:asciiTheme="minorHAnsi" w:hAnsiTheme="minorHAnsi"/>
                <w:b/>
              </w:rPr>
              <w:t>Who does it this way?</w:t>
            </w:r>
          </w:p>
          <w:p w:rsidR="004F1900" w:rsidRPr="00E441D9" w:rsidRDefault="004F1900" w:rsidP="004F1900">
            <w:r>
              <w:t>Several pro</w:t>
            </w:r>
            <w:r w:rsidR="00444A98">
              <w:t>grams</w:t>
            </w:r>
            <w:r>
              <w:t xml:space="preserve"> focus on BMPs meeting quality standards and doing calculations correctly. </w:t>
            </w:r>
          </w:p>
          <w:p w:rsidR="004F1900" w:rsidRDefault="004F1900" w:rsidP="00220479">
            <w:pPr>
              <w:rPr>
                <w:b/>
              </w:rPr>
            </w:pPr>
          </w:p>
        </w:tc>
      </w:tr>
    </w:tbl>
    <w:p w:rsidR="00293864" w:rsidRPr="004D4D2A" w:rsidRDefault="00293864" w:rsidP="00293864">
      <w:pPr>
        <w:pStyle w:val="Default"/>
        <w:spacing w:before="240" w:after="120"/>
        <w:rPr>
          <w:rFonts w:asciiTheme="minorHAnsi" w:hAnsiTheme="minorHAnsi"/>
          <w:b/>
        </w:rPr>
      </w:pPr>
      <w:r w:rsidRPr="004D4D2A">
        <w:rPr>
          <w:rFonts w:asciiTheme="minorHAnsi" w:hAnsiTheme="minorHAnsi"/>
          <w:b/>
        </w:rPr>
        <w:t xml:space="preserve">II. </w:t>
      </w:r>
      <w:r>
        <w:rPr>
          <w:rFonts w:asciiTheme="minorHAnsi" w:hAnsiTheme="minorHAnsi"/>
          <w:b/>
        </w:rPr>
        <w:t>Recommended d</w:t>
      </w:r>
      <w:r w:rsidRPr="004D4D2A">
        <w:rPr>
          <w:rFonts w:asciiTheme="minorHAnsi" w:hAnsiTheme="minorHAnsi"/>
          <w:b/>
        </w:rPr>
        <w:t>efault</w:t>
      </w:r>
    </w:p>
    <w:p w:rsidR="00444A98" w:rsidRPr="007F7496" w:rsidRDefault="00444A98" w:rsidP="00444A98">
      <w:pPr>
        <w:pStyle w:val="Default"/>
        <w:tabs>
          <w:tab w:val="left" w:pos="810"/>
        </w:tabs>
        <w:rPr>
          <w:rFonts w:ascii="Calibri" w:hAnsi="Calibri"/>
        </w:rPr>
      </w:pPr>
      <w:r w:rsidRPr="007F7496">
        <w:rPr>
          <w:rFonts w:ascii="Calibri" w:hAnsi="Calibri"/>
        </w:rPr>
        <w:t>The proposed project site</w:t>
      </w:r>
      <w:r>
        <w:rPr>
          <w:rFonts w:ascii="Calibri" w:hAnsi="Calibri"/>
        </w:rPr>
        <w:t>’s documentation</w:t>
      </w:r>
      <w:r w:rsidRPr="007F7496">
        <w:rPr>
          <w:rFonts w:ascii="Calibri" w:hAnsi="Calibri"/>
        </w:rPr>
        <w:t xml:space="preserve"> must pass an initial screening by </w:t>
      </w:r>
      <w:r>
        <w:rPr>
          <w:rFonts w:ascii="Calibri" w:hAnsi="Calibri"/>
        </w:rPr>
        <w:t xml:space="preserve">the state environmental agency or </w:t>
      </w:r>
      <w:r w:rsidRPr="007F7496">
        <w:rPr>
          <w:rFonts w:ascii="Calibri" w:hAnsi="Calibri"/>
        </w:rPr>
        <w:t xml:space="preserve">a third party. </w:t>
      </w:r>
      <w:r w:rsidR="003E33D3">
        <w:rPr>
          <w:rFonts w:ascii="Calibri" w:hAnsi="Calibri"/>
        </w:rPr>
        <w:t xml:space="preserve">Third parties might include state agricultural agencies, nonprofit organizations, NRCS, conservation districts, or other entities qualified by the trading program. </w:t>
      </w:r>
      <w:r w:rsidRPr="007F7496">
        <w:rPr>
          <w:rFonts w:ascii="Calibri" w:hAnsi="Calibri"/>
        </w:rPr>
        <w:t>The site screen must include</w:t>
      </w:r>
      <w:r>
        <w:rPr>
          <w:rFonts w:ascii="Calibri" w:hAnsi="Calibri"/>
        </w:rPr>
        <w:t xml:space="preserve"> criteria for additionality, suitability (including intention to meet BMP quality standards), and sustainability. Project developer must also demonstrate ownership of </w:t>
      </w:r>
      <w:r w:rsidR="003E33D3">
        <w:rPr>
          <w:rFonts w:ascii="Calibri" w:hAnsi="Calibri"/>
        </w:rPr>
        <w:t xml:space="preserve">credits and ownership of the </w:t>
      </w:r>
      <w:r>
        <w:rPr>
          <w:rFonts w:ascii="Calibri" w:hAnsi="Calibri"/>
        </w:rPr>
        <w:t>land.</w:t>
      </w:r>
      <w:r w:rsidR="003E33D3">
        <w:rPr>
          <w:rFonts w:ascii="Calibri" w:hAnsi="Calibri"/>
        </w:rPr>
        <w:t xml:space="preserve"> Sample documents demonstrating ownership include easements or recorded contracts, property record searches, etc. At the time of initial screening, drafts of these documents or correspondence between a project developer and a landowner may be acceptable.</w:t>
      </w:r>
      <w:r w:rsidRPr="007F7496">
        <w:rPr>
          <w:rFonts w:ascii="Calibri" w:hAnsi="Calibri"/>
        </w:rPr>
        <w:t xml:space="preserve"> </w:t>
      </w:r>
    </w:p>
    <w:p w:rsidR="00293864" w:rsidRPr="004D4D2A" w:rsidRDefault="00293864" w:rsidP="00293864">
      <w:pPr>
        <w:pStyle w:val="Default"/>
        <w:spacing w:before="240" w:after="120"/>
        <w:rPr>
          <w:rFonts w:asciiTheme="minorHAnsi" w:hAnsiTheme="minorHAnsi"/>
          <w:b/>
        </w:rPr>
      </w:pPr>
      <w:r w:rsidRPr="004D4D2A">
        <w:rPr>
          <w:rFonts w:asciiTheme="minorHAnsi" w:hAnsiTheme="minorHAnsi"/>
          <w:b/>
        </w:rPr>
        <w:t>III. Reasons to deviate from the default</w:t>
      </w:r>
    </w:p>
    <w:p w:rsidR="008C2F65" w:rsidRPr="0030344F" w:rsidRDefault="00293864" w:rsidP="00293864">
      <w:pPr>
        <w:pStyle w:val="Default"/>
        <w:rPr>
          <w:rFonts w:asciiTheme="minorHAnsi" w:hAnsiTheme="minorHAnsi"/>
        </w:rPr>
      </w:pPr>
      <w:r>
        <w:rPr>
          <w:rFonts w:asciiTheme="minorHAnsi" w:hAnsiTheme="minorHAnsi"/>
        </w:rPr>
        <w:t>For more complex projects, site screening may include a required site visit, or might be done directly by the state agency.  Upon request, project developer can also submit preliminary credit calculations for review.</w:t>
      </w:r>
    </w:p>
    <w:p w:rsidR="00FE3AC9" w:rsidRPr="003E33D3" w:rsidRDefault="00FE3AC9" w:rsidP="008C2F65">
      <w:pPr>
        <w:pStyle w:val="Heading2"/>
        <w:rPr>
          <w:rFonts w:asciiTheme="minorHAnsi" w:hAnsiTheme="minorHAnsi"/>
          <w:b/>
          <w:sz w:val="24"/>
          <w:szCs w:val="24"/>
        </w:rPr>
      </w:pPr>
      <w:bookmarkStart w:id="2" w:name="_Toc352136329"/>
      <w:r w:rsidRPr="003E33D3">
        <w:rPr>
          <w:b/>
        </w:rPr>
        <w:t>4.2 Consistency with other laws</w:t>
      </w:r>
      <w:bookmarkEnd w:id="2"/>
    </w:p>
    <w:p w:rsidR="00FE3AC9" w:rsidRPr="00315A3A" w:rsidRDefault="00FE3AC9" w:rsidP="00FE3AC9">
      <w:pPr>
        <w:pStyle w:val="Default"/>
        <w:tabs>
          <w:tab w:val="left" w:pos="810"/>
        </w:tabs>
        <w:rPr>
          <w:rFonts w:asciiTheme="minorHAnsi" w:hAnsiTheme="minorHAnsi"/>
          <w:b/>
        </w:rPr>
      </w:pPr>
      <w:r>
        <w:rPr>
          <w:rFonts w:asciiTheme="minorHAnsi" w:hAnsiTheme="minorHAnsi" w:cs="Arial"/>
          <w:bCs/>
        </w:rPr>
        <w:t xml:space="preserve">Prior to generating </w:t>
      </w:r>
      <w:r w:rsidRPr="00315A3A">
        <w:rPr>
          <w:rFonts w:asciiTheme="minorHAnsi" w:hAnsiTheme="minorHAnsi" w:cs="Arial"/>
          <w:bCs/>
        </w:rPr>
        <w:t xml:space="preserve">credits, a </w:t>
      </w:r>
      <w:r>
        <w:rPr>
          <w:rFonts w:asciiTheme="minorHAnsi" w:hAnsiTheme="minorHAnsi"/>
        </w:rPr>
        <w:t>p</w:t>
      </w:r>
      <w:r w:rsidRPr="00315A3A">
        <w:rPr>
          <w:rFonts w:asciiTheme="minorHAnsi" w:hAnsiTheme="minorHAnsi"/>
        </w:rPr>
        <w:t xml:space="preserve">roposed projects </w:t>
      </w:r>
      <w:r>
        <w:rPr>
          <w:rFonts w:asciiTheme="minorHAnsi" w:hAnsiTheme="minorHAnsi"/>
        </w:rPr>
        <w:t>should be</w:t>
      </w:r>
      <w:r w:rsidRPr="00315A3A">
        <w:rPr>
          <w:rFonts w:asciiTheme="minorHAnsi" w:hAnsiTheme="minorHAnsi"/>
        </w:rPr>
        <w:t xml:space="preserve"> </w:t>
      </w:r>
      <w:r>
        <w:rPr>
          <w:rFonts w:asciiTheme="minorHAnsi" w:hAnsiTheme="minorHAnsi"/>
        </w:rPr>
        <w:t>in</w:t>
      </w:r>
      <w:r w:rsidRPr="00315A3A">
        <w:rPr>
          <w:rFonts w:asciiTheme="minorHAnsi" w:hAnsiTheme="minorHAnsi"/>
        </w:rPr>
        <w:t xml:space="preserve"> compliance with all applicable federal, state, and local laws (including among others the National Environmental Policy Act, the Endangered Species Act, the Clean Water Act, state nonpoint source laws, and county/municipal land use and vegetation disturbance laws).</w:t>
      </w:r>
      <w:r>
        <w:rPr>
          <w:rFonts w:asciiTheme="minorHAnsi" w:hAnsiTheme="minorHAnsi"/>
        </w:rPr>
        <w:t xml:space="preserve"> This element of trading is similar to baseline requirements, but slightly different. Where baseline discusses the pollution reductions necessary prior to trading, being consistent with applicable laws ensures that a potential project is not already under order for some other reason to do the project they are proposing for credits. </w:t>
      </w:r>
    </w:p>
    <w:p w:rsidR="00FE3AC9" w:rsidRDefault="00FE3AC9" w:rsidP="00FE3AC9">
      <w:pPr>
        <w:pStyle w:val="Default"/>
        <w:rPr>
          <w:rFonts w:asciiTheme="minorHAnsi" w:hAnsiTheme="minorHAnsi" w:cs="Arial"/>
          <w:bCs/>
        </w:rPr>
      </w:pPr>
    </w:p>
    <w:p w:rsidR="00FE3AC9" w:rsidRDefault="00FE3AC9" w:rsidP="00FE3AC9">
      <w:pPr>
        <w:pStyle w:val="Default"/>
        <w:rPr>
          <w:rFonts w:asciiTheme="minorHAnsi" w:hAnsiTheme="minorHAnsi" w:cs="Arial"/>
          <w:bCs/>
        </w:rPr>
      </w:pPr>
      <w:r>
        <w:rPr>
          <w:rFonts w:asciiTheme="minorHAnsi" w:hAnsiTheme="minorHAnsi" w:cs="Arial"/>
          <w:bCs/>
        </w:rPr>
        <w:t>This element seems pretty straightforward, but which laws should be specifically called out, and are there ever any exceptions to this element?</w:t>
      </w:r>
    </w:p>
    <w:p w:rsidR="00C60074" w:rsidRDefault="00C60074" w:rsidP="00FE3AC9">
      <w:pPr>
        <w:pStyle w:val="Default"/>
        <w:rPr>
          <w:rFonts w:asciiTheme="minorHAnsi" w:hAnsiTheme="minorHAnsi" w:cs="Arial"/>
          <w:bCs/>
        </w:rPr>
      </w:pPr>
    </w:p>
    <w:p w:rsidR="00FE3AC9" w:rsidRDefault="00FE3AC9" w:rsidP="00FE3AC9">
      <w:pPr>
        <w:pStyle w:val="Default"/>
        <w:rPr>
          <w:rFonts w:asciiTheme="minorHAnsi" w:hAnsiTheme="minorHAnsi" w:cs="Arial"/>
          <w:bCs/>
        </w:rPr>
      </w:pPr>
    </w:p>
    <w:p w:rsidR="00FE3AC9" w:rsidRPr="007E25D5" w:rsidRDefault="00FE3AC9" w:rsidP="00FE3AC9">
      <w:pPr>
        <w:pStyle w:val="Default"/>
        <w:rPr>
          <w:rFonts w:asciiTheme="minorHAnsi" w:hAnsiTheme="minorHAnsi" w:cs="Arial"/>
          <w:b/>
          <w:bCs/>
        </w:rPr>
      </w:pPr>
      <w:r w:rsidRPr="007E25D5">
        <w:rPr>
          <w:rFonts w:asciiTheme="minorHAnsi" w:hAnsiTheme="minorHAnsi" w:cs="Arial"/>
          <w:b/>
          <w:bCs/>
        </w:rPr>
        <w:lastRenderedPageBreak/>
        <w:t>I. Options and examples</w:t>
      </w:r>
    </w:p>
    <w:p w:rsidR="00FE3AC9" w:rsidRDefault="00FE3AC9" w:rsidP="00FE3AC9">
      <w:pPr>
        <w:pStyle w:val="Default"/>
        <w:rPr>
          <w:rFonts w:asciiTheme="minorHAnsi" w:hAnsiTheme="minorHAnsi" w:cs="Arial"/>
          <w:bCs/>
          <w:u w:val="single"/>
        </w:rPr>
      </w:pPr>
    </w:p>
    <w:p w:rsidR="00FE3AC9" w:rsidRDefault="00FE3AC9" w:rsidP="00FE3AC9">
      <w:pPr>
        <w:pStyle w:val="Default"/>
        <w:rPr>
          <w:rFonts w:asciiTheme="minorHAnsi" w:hAnsiTheme="minorHAnsi"/>
        </w:rPr>
      </w:pPr>
      <w:r w:rsidRPr="00E84E2C">
        <w:rPr>
          <w:rFonts w:asciiTheme="minorHAnsi" w:hAnsiTheme="minorHAnsi" w:cs="Arial"/>
          <w:b/>
          <w:bCs/>
        </w:rPr>
        <w:t>a. Federal consistency:</w:t>
      </w:r>
      <w:r>
        <w:rPr>
          <w:rFonts w:asciiTheme="minorHAnsi" w:hAnsiTheme="minorHAnsi" w:cs="Arial"/>
          <w:bCs/>
        </w:rPr>
        <w:t xml:space="preserve"> </w:t>
      </w:r>
      <w:r>
        <w:rPr>
          <w:rFonts w:asciiTheme="minorHAnsi" w:hAnsiTheme="minorHAnsi"/>
        </w:rPr>
        <w:t xml:space="preserve">A project developer may need to attest that they are currently in compliance with the Clean Water Act and Endangered Species Act.  </w:t>
      </w:r>
    </w:p>
    <w:p w:rsidR="00FE3AC9" w:rsidRDefault="00FE3AC9" w:rsidP="00FE3AC9">
      <w:pPr>
        <w:pStyle w:val="Default"/>
        <w:rPr>
          <w:rFonts w:asciiTheme="minorHAnsi" w:hAnsiTheme="minorHAnsi"/>
        </w:rPr>
      </w:pPr>
    </w:p>
    <w:p w:rsidR="00FE3AC9" w:rsidRDefault="00FE3AC9" w:rsidP="00FE3AC9">
      <w:pPr>
        <w:pStyle w:val="Default"/>
        <w:ind w:left="720"/>
        <w:rPr>
          <w:rFonts w:asciiTheme="minorHAnsi" w:hAnsiTheme="minorHAnsi"/>
        </w:rPr>
      </w:pPr>
      <w:r>
        <w:rPr>
          <w:rFonts w:asciiTheme="minorHAnsi" w:hAnsiTheme="minorHAnsi" w:cs="Arial"/>
          <w:bCs/>
          <w:u w:val="single"/>
        </w:rPr>
        <w:t>Potential state differences:</w:t>
      </w:r>
      <w:r>
        <w:rPr>
          <w:rFonts w:asciiTheme="minorHAnsi" w:hAnsiTheme="minorHAnsi"/>
        </w:rPr>
        <w:t xml:space="preserve"> It is not clear whether there </w:t>
      </w:r>
      <w:r w:rsidR="00C60074">
        <w:rPr>
          <w:rFonts w:asciiTheme="minorHAnsi" w:hAnsiTheme="minorHAnsi"/>
        </w:rPr>
        <w:t>would be</w:t>
      </w:r>
      <w:r>
        <w:rPr>
          <w:rFonts w:asciiTheme="minorHAnsi" w:hAnsiTheme="minorHAnsi"/>
        </w:rPr>
        <w:t xml:space="preserve"> major state differences </w:t>
      </w:r>
      <w:r w:rsidR="00C60074">
        <w:rPr>
          <w:rFonts w:asciiTheme="minorHAnsi" w:hAnsiTheme="minorHAnsi"/>
        </w:rPr>
        <w:t>here.</w:t>
      </w:r>
    </w:p>
    <w:p w:rsidR="00FE3AC9" w:rsidRDefault="00FE3AC9" w:rsidP="00FE3AC9">
      <w:pPr>
        <w:pStyle w:val="Default"/>
        <w:rPr>
          <w:rFonts w:asciiTheme="minorHAnsi" w:hAnsiTheme="minorHAnsi"/>
        </w:rPr>
      </w:pPr>
    </w:p>
    <w:p w:rsidR="00FE3AC9" w:rsidRDefault="00FE3AC9" w:rsidP="00FE3AC9">
      <w:pPr>
        <w:pStyle w:val="Default"/>
        <w:rPr>
          <w:rFonts w:asciiTheme="minorHAnsi" w:hAnsiTheme="minorHAnsi"/>
        </w:rPr>
      </w:pPr>
      <w:r w:rsidRPr="00E84E2C">
        <w:rPr>
          <w:rFonts w:asciiTheme="minorHAnsi" w:hAnsiTheme="minorHAnsi"/>
          <w:b/>
        </w:rPr>
        <w:t>b. State Consistency</w:t>
      </w:r>
      <w:r>
        <w:rPr>
          <w:rFonts w:asciiTheme="minorHAnsi" w:hAnsiTheme="minorHAnsi"/>
        </w:rPr>
        <w:t xml:space="preserve">: A project developer may need to attest that they are in compliance with state nonpoint source regulatory rules and state fish and wildlife rules. </w:t>
      </w:r>
    </w:p>
    <w:p w:rsidR="00FE3AC9" w:rsidRDefault="00FE3AC9" w:rsidP="00FE3AC9">
      <w:pPr>
        <w:pStyle w:val="Default"/>
        <w:rPr>
          <w:rFonts w:asciiTheme="minorHAnsi" w:hAnsiTheme="minorHAnsi"/>
        </w:rPr>
      </w:pPr>
    </w:p>
    <w:p w:rsidR="00FE3AC9" w:rsidRDefault="00FE3AC9" w:rsidP="00FE3AC9">
      <w:pPr>
        <w:pStyle w:val="Default"/>
        <w:ind w:firstLine="720"/>
        <w:rPr>
          <w:rFonts w:asciiTheme="minorHAnsi" w:hAnsiTheme="minorHAnsi"/>
        </w:rPr>
      </w:pPr>
      <w:r w:rsidRPr="00F519DF">
        <w:rPr>
          <w:rFonts w:asciiTheme="minorHAnsi" w:hAnsiTheme="minorHAnsi" w:cs="Arial"/>
          <w:bCs/>
          <w:u w:val="single"/>
        </w:rPr>
        <w:t>Questions to consider</w:t>
      </w:r>
      <w:r>
        <w:rPr>
          <w:rFonts w:asciiTheme="minorHAnsi" w:hAnsiTheme="minorHAnsi"/>
        </w:rPr>
        <w:t>: How do we phrase this?</w:t>
      </w:r>
    </w:p>
    <w:p w:rsidR="00FE3AC9" w:rsidRDefault="00FE3AC9" w:rsidP="00FE3AC9">
      <w:pPr>
        <w:pStyle w:val="Default"/>
        <w:rPr>
          <w:rFonts w:asciiTheme="minorHAnsi" w:hAnsiTheme="minorHAnsi"/>
        </w:rPr>
      </w:pPr>
    </w:p>
    <w:p w:rsidR="00FE3AC9" w:rsidRDefault="00FE3AC9" w:rsidP="00FE3AC9">
      <w:pPr>
        <w:pStyle w:val="Default"/>
        <w:ind w:left="720"/>
        <w:rPr>
          <w:rFonts w:asciiTheme="minorHAnsi" w:hAnsiTheme="minorHAnsi"/>
        </w:rPr>
      </w:pPr>
      <w:r>
        <w:rPr>
          <w:rFonts w:asciiTheme="minorHAnsi" w:hAnsiTheme="minorHAnsi" w:cs="Arial"/>
          <w:bCs/>
          <w:u w:val="single"/>
        </w:rPr>
        <w:t>Potential state differences:</w:t>
      </w:r>
      <w:r>
        <w:rPr>
          <w:rFonts w:asciiTheme="minorHAnsi" w:hAnsiTheme="minorHAnsi"/>
        </w:rPr>
        <w:t xml:space="preserve"> Different states have different rules. Washington Ecology implements its nonpoint source regulations and Washington Dept. of Fish and Wildlife regulates modifications of in-stream habitat. Oregon Dept. of Ag implements water quality plans. </w:t>
      </w:r>
    </w:p>
    <w:p w:rsidR="00FE3AC9" w:rsidRDefault="00FE3AC9" w:rsidP="00FE3AC9">
      <w:pPr>
        <w:pStyle w:val="Default"/>
        <w:rPr>
          <w:rFonts w:asciiTheme="minorHAnsi" w:hAnsiTheme="minorHAnsi"/>
        </w:rPr>
      </w:pPr>
    </w:p>
    <w:p w:rsidR="00FE3AC9" w:rsidRDefault="00FE3AC9" w:rsidP="00FE3AC9">
      <w:pPr>
        <w:pStyle w:val="Default"/>
        <w:rPr>
          <w:rFonts w:asciiTheme="minorHAnsi" w:hAnsiTheme="minorHAnsi" w:cs="Arial"/>
          <w:bCs/>
        </w:rPr>
      </w:pPr>
      <w:r>
        <w:rPr>
          <w:rFonts w:asciiTheme="minorHAnsi" w:hAnsiTheme="minorHAnsi" w:cs="Arial"/>
          <w:b/>
          <w:bCs/>
        </w:rPr>
        <w:t>c</w:t>
      </w:r>
      <w:r w:rsidRPr="00E84E2C">
        <w:rPr>
          <w:rFonts w:asciiTheme="minorHAnsi" w:hAnsiTheme="minorHAnsi" w:cs="Arial"/>
          <w:b/>
          <w:bCs/>
        </w:rPr>
        <w:t>. Local Consistency</w:t>
      </w:r>
      <w:r>
        <w:rPr>
          <w:rFonts w:asciiTheme="minorHAnsi" w:hAnsiTheme="minorHAnsi" w:cs="Arial"/>
          <w:b/>
          <w:bCs/>
        </w:rPr>
        <w:t>:</w:t>
      </w:r>
      <w:r>
        <w:rPr>
          <w:rFonts w:asciiTheme="minorHAnsi" w:hAnsiTheme="minorHAnsi" w:cs="Arial"/>
          <w:bCs/>
        </w:rPr>
        <w:t xml:space="preserve"> A project developer may need to attest that the proposed project does not require a permit or review from a local agency, and is consistent with any local land use, critical areas, or other statutes. </w:t>
      </w:r>
    </w:p>
    <w:p w:rsidR="00FE3AC9" w:rsidRDefault="00FE3AC9" w:rsidP="00FE3AC9">
      <w:pPr>
        <w:pStyle w:val="Default"/>
        <w:rPr>
          <w:rFonts w:asciiTheme="minorHAnsi" w:hAnsiTheme="minorHAnsi" w:cs="Arial"/>
          <w:bCs/>
        </w:rPr>
      </w:pPr>
    </w:p>
    <w:p w:rsidR="00FE3AC9" w:rsidRDefault="00FE3AC9" w:rsidP="00FE3AC9">
      <w:pPr>
        <w:pStyle w:val="Default"/>
        <w:ind w:firstLine="720"/>
        <w:rPr>
          <w:rFonts w:asciiTheme="minorHAnsi" w:hAnsiTheme="minorHAnsi" w:cs="Arial"/>
          <w:bCs/>
        </w:rPr>
      </w:pPr>
      <w:r w:rsidRPr="00F519DF">
        <w:rPr>
          <w:rFonts w:asciiTheme="minorHAnsi" w:hAnsiTheme="minorHAnsi" w:cs="Arial"/>
          <w:bCs/>
          <w:u w:val="single"/>
        </w:rPr>
        <w:t>Questions to consider</w:t>
      </w:r>
      <w:r>
        <w:rPr>
          <w:rFonts w:asciiTheme="minorHAnsi" w:hAnsiTheme="minorHAnsi" w:cs="Arial"/>
          <w:bCs/>
        </w:rPr>
        <w:t>: How much do we want to say about consistency with local laws?</w:t>
      </w:r>
    </w:p>
    <w:p w:rsidR="00FE3AC9" w:rsidRDefault="00FE3AC9" w:rsidP="00FE3AC9">
      <w:pPr>
        <w:pStyle w:val="Default"/>
        <w:rPr>
          <w:rFonts w:asciiTheme="minorHAnsi" w:hAnsiTheme="minorHAnsi" w:cs="Arial"/>
          <w:bCs/>
        </w:rPr>
      </w:pPr>
    </w:p>
    <w:p w:rsidR="00FE3AC9" w:rsidRDefault="00FE3AC9" w:rsidP="00FE3AC9">
      <w:pPr>
        <w:pStyle w:val="Default"/>
        <w:ind w:left="720"/>
        <w:rPr>
          <w:rFonts w:asciiTheme="minorHAnsi" w:hAnsiTheme="minorHAnsi"/>
          <w:b/>
          <w:i/>
        </w:rPr>
      </w:pPr>
      <w:r>
        <w:rPr>
          <w:rFonts w:asciiTheme="minorHAnsi" w:hAnsiTheme="minorHAnsi" w:cs="Arial"/>
          <w:bCs/>
          <w:u w:val="single"/>
        </w:rPr>
        <w:t>Potential state differences:</w:t>
      </w:r>
      <w:r>
        <w:rPr>
          <w:rFonts w:asciiTheme="minorHAnsi" w:hAnsiTheme="minorHAnsi" w:cs="Arial"/>
          <w:bCs/>
        </w:rPr>
        <w:t xml:space="preserve"> Washington has its Growth Management Act, and Oregon has its land use laws. Many communities have critical areas </w:t>
      </w:r>
      <w:r w:rsidR="0064431B">
        <w:rPr>
          <w:rFonts w:asciiTheme="minorHAnsi" w:hAnsiTheme="minorHAnsi" w:cs="Arial"/>
          <w:bCs/>
        </w:rPr>
        <w:t>ordinances</w:t>
      </w:r>
      <w:r>
        <w:rPr>
          <w:rFonts w:asciiTheme="minorHAnsi" w:hAnsiTheme="minorHAnsi" w:cs="Arial"/>
          <w:bCs/>
        </w:rPr>
        <w:t xml:space="preserve"> or buffer requirements.</w:t>
      </w:r>
    </w:p>
    <w:p w:rsidR="00FE3AC9" w:rsidRPr="00934CE4" w:rsidRDefault="00FE3AC9" w:rsidP="00FE3AC9">
      <w:pPr>
        <w:pStyle w:val="Default"/>
        <w:rPr>
          <w:rFonts w:asciiTheme="minorHAnsi" w:hAnsiTheme="minorHAnsi"/>
        </w:rPr>
      </w:pPr>
    </w:p>
    <w:p w:rsidR="00FE3AC9" w:rsidRPr="004D4D2A" w:rsidRDefault="00FE3AC9" w:rsidP="00FE3AC9">
      <w:pPr>
        <w:pStyle w:val="Default"/>
        <w:rPr>
          <w:rFonts w:asciiTheme="minorHAnsi" w:hAnsiTheme="minorHAnsi"/>
          <w:b/>
        </w:rPr>
      </w:pPr>
      <w:r w:rsidRPr="004D4D2A">
        <w:rPr>
          <w:rFonts w:asciiTheme="minorHAnsi" w:hAnsiTheme="minorHAnsi"/>
          <w:b/>
        </w:rPr>
        <w:t xml:space="preserve">II. </w:t>
      </w:r>
      <w:r>
        <w:rPr>
          <w:rFonts w:asciiTheme="minorHAnsi" w:hAnsiTheme="minorHAnsi"/>
          <w:b/>
        </w:rPr>
        <w:t>Recommended d</w:t>
      </w:r>
      <w:r w:rsidRPr="004D4D2A">
        <w:rPr>
          <w:rFonts w:asciiTheme="minorHAnsi" w:hAnsiTheme="minorHAnsi"/>
          <w:b/>
        </w:rPr>
        <w:t>efault</w:t>
      </w:r>
    </w:p>
    <w:p w:rsidR="00FE3AC9" w:rsidRPr="00315A3A" w:rsidRDefault="00FE3AC9" w:rsidP="00FE3AC9">
      <w:pPr>
        <w:pStyle w:val="Default"/>
        <w:tabs>
          <w:tab w:val="left" w:pos="810"/>
        </w:tabs>
        <w:rPr>
          <w:rFonts w:asciiTheme="minorHAnsi" w:hAnsiTheme="minorHAnsi"/>
          <w:b/>
        </w:rPr>
      </w:pPr>
      <w:r>
        <w:rPr>
          <w:rFonts w:asciiTheme="minorHAnsi" w:hAnsiTheme="minorHAnsi"/>
        </w:rPr>
        <w:t>Prior to generating credits, p</w:t>
      </w:r>
      <w:r w:rsidRPr="00315A3A">
        <w:rPr>
          <w:rFonts w:asciiTheme="minorHAnsi" w:hAnsiTheme="minorHAnsi"/>
        </w:rPr>
        <w:t>roposed projects must obtain compliance with all applicable federal, state, and local laws (including among others the National Environmental Policy Act, the Endangered Species Act, the Clean Water Act, state nonpoint source laws, and county/municipal land use and vegetation disturbance laws).</w:t>
      </w:r>
    </w:p>
    <w:p w:rsidR="00FE3AC9" w:rsidRDefault="00FE3AC9" w:rsidP="00FE3AC9">
      <w:pPr>
        <w:pStyle w:val="Default"/>
        <w:rPr>
          <w:rFonts w:asciiTheme="minorHAnsi" w:hAnsiTheme="minorHAnsi"/>
        </w:rPr>
      </w:pPr>
    </w:p>
    <w:p w:rsidR="00FE3AC9" w:rsidRPr="004D4D2A" w:rsidRDefault="00FE3AC9" w:rsidP="00FE3AC9">
      <w:pPr>
        <w:pStyle w:val="Default"/>
        <w:rPr>
          <w:rFonts w:asciiTheme="minorHAnsi" w:hAnsiTheme="minorHAnsi"/>
          <w:b/>
        </w:rPr>
      </w:pPr>
      <w:r w:rsidRPr="004D4D2A">
        <w:rPr>
          <w:rFonts w:asciiTheme="minorHAnsi" w:hAnsiTheme="minorHAnsi"/>
          <w:b/>
        </w:rPr>
        <w:t>III. Reasons to deviate from the default</w:t>
      </w:r>
    </w:p>
    <w:p w:rsidR="00FE3AC9" w:rsidRDefault="00FE3AC9" w:rsidP="00FE3AC9">
      <w:pPr>
        <w:pStyle w:val="Default"/>
        <w:rPr>
          <w:rFonts w:asciiTheme="minorHAnsi" w:hAnsiTheme="minorHAnsi"/>
          <w:b/>
          <w:i/>
        </w:rPr>
      </w:pPr>
      <w:r>
        <w:rPr>
          <w:rFonts w:asciiTheme="minorHAnsi" w:hAnsiTheme="minorHAnsi"/>
        </w:rPr>
        <w:t>There may be instances where states allow a project to generate credits that also helps a project developer or landowner come into compliance with other laws. This might include actions that lead to compliance faster than would have otherwise occurred. Generally, this element should be crystal clear. Baseline requirements can deal with accelerated implementation.</w:t>
      </w:r>
    </w:p>
    <w:p w:rsidR="00FE3AC9" w:rsidRPr="003E33D3" w:rsidRDefault="008C2F65" w:rsidP="008C2F65">
      <w:pPr>
        <w:pStyle w:val="Heading2"/>
        <w:rPr>
          <w:b/>
        </w:rPr>
      </w:pPr>
      <w:bookmarkStart w:id="3" w:name="_Toc352136330"/>
      <w:r w:rsidRPr="003E33D3">
        <w:rPr>
          <w:b/>
        </w:rPr>
        <w:t>4</w:t>
      </w:r>
      <w:r w:rsidR="00FE3AC9" w:rsidRPr="003E33D3">
        <w:rPr>
          <w:b/>
        </w:rPr>
        <w:t xml:space="preserve">.3 Project </w:t>
      </w:r>
      <w:r w:rsidR="00C60074">
        <w:rPr>
          <w:b/>
        </w:rPr>
        <w:t>i</w:t>
      </w:r>
      <w:r w:rsidR="00FE3AC9" w:rsidRPr="003E33D3">
        <w:rPr>
          <w:b/>
        </w:rPr>
        <w:t xml:space="preserve">mplementation </w:t>
      </w:r>
      <w:r w:rsidR="00C60074">
        <w:rPr>
          <w:b/>
        </w:rPr>
        <w:t>q</w:t>
      </w:r>
      <w:r w:rsidR="00FE3AC9" w:rsidRPr="003E33D3">
        <w:rPr>
          <w:b/>
        </w:rPr>
        <w:t xml:space="preserve">uality </w:t>
      </w:r>
      <w:r w:rsidR="00C60074">
        <w:rPr>
          <w:b/>
        </w:rPr>
        <w:t>a</w:t>
      </w:r>
      <w:r w:rsidR="00FE3AC9" w:rsidRPr="003E33D3">
        <w:rPr>
          <w:b/>
        </w:rPr>
        <w:t>ssurance</w:t>
      </w:r>
      <w:bookmarkEnd w:id="3"/>
    </w:p>
    <w:p w:rsidR="00CD0A95" w:rsidRDefault="00CD0A95" w:rsidP="00CD0A95">
      <w:pPr>
        <w:pStyle w:val="Default"/>
        <w:spacing w:before="120" w:after="120"/>
        <w:rPr>
          <w:rFonts w:asciiTheme="minorHAnsi" w:hAnsiTheme="minorHAnsi" w:cs="Arial"/>
          <w:bCs/>
        </w:rPr>
      </w:pPr>
      <w:r>
        <w:rPr>
          <w:rFonts w:asciiTheme="minorHAnsi" w:hAnsiTheme="minorHAnsi" w:cs="Arial"/>
          <w:bCs/>
        </w:rPr>
        <w:t xml:space="preserve">Most credit calculations are modeled assuming BMPs are performing at their best in reducing pollution. A trading program needs quality standards to shape design of a BMP and performance standards to make sure a BMP is being operated and maintained appropriately to meet the assumptions modeled in the credit calculation. </w:t>
      </w:r>
      <w:r w:rsidR="00A12713">
        <w:rPr>
          <w:rFonts w:asciiTheme="minorHAnsi" w:hAnsiTheme="minorHAnsi" w:cs="Arial"/>
          <w:bCs/>
        </w:rPr>
        <w:t xml:space="preserve">Quality standards are also a way to ensure that the </w:t>
      </w:r>
      <w:r w:rsidR="00A12713">
        <w:rPr>
          <w:rFonts w:asciiTheme="minorHAnsi" w:hAnsiTheme="minorHAnsi" w:cs="Arial"/>
          <w:bCs/>
        </w:rPr>
        <w:lastRenderedPageBreak/>
        <w:t xml:space="preserve">actions taken on the ground are enhancing ecosystem function for the credited actions in a way that is ecologically responsible and contributes toward watershed health and resiliency (i.e. using native species in riparian forests instead of hybrids). </w:t>
      </w:r>
    </w:p>
    <w:p w:rsidR="007009ED" w:rsidRDefault="007009ED" w:rsidP="007009ED">
      <w:pPr>
        <w:pStyle w:val="Default"/>
        <w:spacing w:before="120" w:after="120"/>
        <w:rPr>
          <w:rFonts w:asciiTheme="minorHAnsi" w:hAnsiTheme="minorHAnsi"/>
        </w:rPr>
      </w:pPr>
      <w:r>
        <w:rPr>
          <w:rFonts w:asciiTheme="minorHAnsi" w:hAnsiTheme="minorHAnsi" w:cs="Arial"/>
          <w:bCs/>
        </w:rPr>
        <w:t xml:space="preserve">For most programs, quality and performance standards are tied to NRCS’ manuals. In some cases, trading programs may wish to add or change these standards. </w:t>
      </w:r>
      <w:r>
        <w:rPr>
          <w:rFonts w:asciiTheme="minorHAnsi" w:hAnsiTheme="minorHAnsi"/>
        </w:rPr>
        <w:t>NRCS standards are widely available and widely applied. Agricultural and resource professionals and landowners are typically familiar with applying them</w:t>
      </w:r>
      <w:r w:rsidR="00CC258F">
        <w:rPr>
          <w:rFonts w:asciiTheme="minorHAnsi" w:hAnsiTheme="minorHAnsi"/>
        </w:rPr>
        <w:t>, easing their acceptance</w:t>
      </w:r>
      <w:r>
        <w:rPr>
          <w:rFonts w:asciiTheme="minorHAnsi" w:hAnsiTheme="minorHAnsi"/>
        </w:rPr>
        <w:t>.</w:t>
      </w:r>
      <w:r w:rsidRPr="00D35D74">
        <w:rPr>
          <w:rFonts w:asciiTheme="minorHAnsi" w:hAnsiTheme="minorHAnsi"/>
        </w:rPr>
        <w:t xml:space="preserve"> </w:t>
      </w:r>
      <w:r>
        <w:rPr>
          <w:rFonts w:asciiTheme="minorHAnsi" w:hAnsiTheme="minorHAnsi"/>
        </w:rPr>
        <w:t xml:space="preserve">However, because NRCS standards were intended as </w:t>
      </w:r>
      <w:r w:rsidRPr="00D35D74">
        <w:rPr>
          <w:rFonts w:asciiTheme="minorHAnsi" w:hAnsiTheme="minorHAnsi"/>
        </w:rPr>
        <w:t>guidelines</w:t>
      </w:r>
      <w:r>
        <w:rPr>
          <w:rFonts w:asciiTheme="minorHAnsi" w:hAnsiTheme="minorHAnsi"/>
        </w:rPr>
        <w:t xml:space="preserve"> for agricultural producers and professionals, they can be problematic to apply in a crediting context. They are written with a lot of flexibility and focus more on factors to consider instead of specific requirements and thresholds. Using a “you should consider” </w:t>
      </w:r>
      <w:r w:rsidR="00F62A23">
        <w:rPr>
          <w:rFonts w:asciiTheme="minorHAnsi" w:hAnsiTheme="minorHAnsi"/>
        </w:rPr>
        <w:t>vs.</w:t>
      </w:r>
      <w:r>
        <w:rPr>
          <w:rFonts w:asciiTheme="minorHAnsi" w:hAnsiTheme="minorHAnsi"/>
        </w:rPr>
        <w:t xml:space="preserve"> a “thou shalt approach” makes it easier to apply </w:t>
      </w:r>
      <w:r w:rsidR="00C60074">
        <w:rPr>
          <w:rFonts w:asciiTheme="minorHAnsi" w:hAnsiTheme="minorHAnsi"/>
        </w:rPr>
        <w:t>them</w:t>
      </w:r>
      <w:r>
        <w:rPr>
          <w:rFonts w:asciiTheme="minorHAnsi" w:hAnsiTheme="minorHAnsi"/>
        </w:rPr>
        <w:t xml:space="preserve"> to a range of scenarios, but more difficult to distinguish when the BMP is </w:t>
      </w:r>
      <w:r w:rsidR="00C60074">
        <w:rPr>
          <w:rFonts w:asciiTheme="minorHAnsi" w:hAnsiTheme="minorHAnsi"/>
        </w:rPr>
        <w:t xml:space="preserve">meeting program </w:t>
      </w:r>
      <w:r w:rsidR="0064431B">
        <w:rPr>
          <w:rFonts w:asciiTheme="minorHAnsi" w:hAnsiTheme="minorHAnsi"/>
        </w:rPr>
        <w:t>requirements</w:t>
      </w:r>
      <w:r w:rsidR="00C60074">
        <w:rPr>
          <w:rFonts w:asciiTheme="minorHAnsi" w:hAnsiTheme="minorHAnsi"/>
        </w:rPr>
        <w:t>.</w:t>
      </w:r>
      <w:r>
        <w:rPr>
          <w:rFonts w:asciiTheme="minorHAnsi" w:hAnsiTheme="minorHAnsi"/>
        </w:rPr>
        <w:t xml:space="preserve">  </w:t>
      </w:r>
    </w:p>
    <w:p w:rsidR="00D01CF7" w:rsidRDefault="007009ED" w:rsidP="007009ED">
      <w:pPr>
        <w:pStyle w:val="Default"/>
        <w:spacing w:before="120" w:after="120"/>
        <w:rPr>
          <w:rFonts w:asciiTheme="minorHAnsi" w:hAnsiTheme="minorHAnsi"/>
        </w:rPr>
      </w:pPr>
      <w:r>
        <w:rPr>
          <w:rFonts w:asciiTheme="minorHAnsi" w:hAnsiTheme="minorHAnsi"/>
        </w:rPr>
        <w:t xml:space="preserve">Willamette Partnership and the Lower Boise program sought guidance from stakeholder groups, including restoration practitioners and technical </w:t>
      </w:r>
      <w:r w:rsidR="00F62A23">
        <w:rPr>
          <w:rFonts w:asciiTheme="minorHAnsi" w:hAnsiTheme="minorHAnsi"/>
        </w:rPr>
        <w:t>committees</w:t>
      </w:r>
      <w:r>
        <w:rPr>
          <w:rFonts w:asciiTheme="minorHAnsi" w:hAnsiTheme="minorHAnsi"/>
        </w:rPr>
        <w:t xml:space="preserve"> to build BMP guidelines specifically suited to their </w:t>
      </w:r>
      <w:r w:rsidR="00F62A23">
        <w:rPr>
          <w:rFonts w:asciiTheme="minorHAnsi" w:hAnsiTheme="minorHAnsi"/>
        </w:rPr>
        <w:t>program’s</w:t>
      </w:r>
      <w:r>
        <w:rPr>
          <w:rFonts w:asciiTheme="minorHAnsi" w:hAnsiTheme="minorHAnsi"/>
        </w:rPr>
        <w:t xml:space="preserve"> needs. </w:t>
      </w:r>
    </w:p>
    <w:p w:rsidR="008D2765" w:rsidRDefault="00E441D9" w:rsidP="00C60074">
      <w:pPr>
        <w:pStyle w:val="Default"/>
        <w:spacing w:before="240" w:after="120"/>
        <w:rPr>
          <w:rFonts w:asciiTheme="minorHAnsi" w:hAnsiTheme="minorHAnsi" w:cs="Arial"/>
          <w:b/>
          <w:bCs/>
        </w:rPr>
      </w:pPr>
      <w:r w:rsidRPr="00E441D9">
        <w:rPr>
          <w:rFonts w:asciiTheme="minorHAnsi" w:hAnsiTheme="minorHAnsi" w:cs="Arial"/>
          <w:b/>
          <w:bCs/>
        </w:rPr>
        <w:t xml:space="preserve">I. </w:t>
      </w:r>
      <w:r w:rsidR="004D4D2A">
        <w:rPr>
          <w:rFonts w:asciiTheme="minorHAnsi" w:hAnsiTheme="minorHAnsi" w:cs="Arial"/>
          <w:b/>
          <w:bCs/>
        </w:rPr>
        <w:t>Options and e</w:t>
      </w:r>
      <w:r w:rsidRPr="00E441D9">
        <w:rPr>
          <w:rFonts w:asciiTheme="minorHAnsi" w:hAnsiTheme="minorHAnsi" w:cs="Arial"/>
          <w:b/>
          <w:bCs/>
        </w:rPr>
        <w:t>xamples</w:t>
      </w:r>
    </w:p>
    <w:p w:rsidR="00232030" w:rsidRDefault="00232030" w:rsidP="009E6D3F">
      <w:pPr>
        <w:pStyle w:val="Default"/>
        <w:spacing w:before="120" w:after="120"/>
        <w:rPr>
          <w:rFonts w:asciiTheme="minorHAnsi" w:hAnsiTheme="minorHAnsi" w:cs="Arial"/>
          <w:bCs/>
          <w:u w:val="single"/>
        </w:rPr>
      </w:pPr>
      <w:r>
        <w:rPr>
          <w:rFonts w:asciiTheme="minorHAnsi" w:hAnsiTheme="minorHAnsi" w:cs="Arial"/>
          <w:bCs/>
          <w:u w:val="single"/>
        </w:rPr>
        <w:t>Quality standards for BMP design and construction</w:t>
      </w:r>
    </w:p>
    <w:tbl>
      <w:tblPr>
        <w:tblStyle w:val="TableGrid"/>
        <w:tblW w:w="0" w:type="auto"/>
        <w:tblInd w:w="18" w:type="dxa"/>
        <w:tblLook w:val="04A0"/>
      </w:tblPr>
      <w:tblGrid>
        <w:gridCol w:w="5058"/>
        <w:gridCol w:w="5076"/>
      </w:tblGrid>
      <w:tr w:rsidR="00034DEE" w:rsidTr="00FE3AC9">
        <w:tc>
          <w:tcPr>
            <w:tcW w:w="5058" w:type="dxa"/>
          </w:tcPr>
          <w:p w:rsidR="00034DEE" w:rsidRPr="00E441D9" w:rsidRDefault="007009ED" w:rsidP="00034DEE">
            <w:pPr>
              <w:rPr>
                <w:b/>
              </w:rPr>
            </w:pPr>
            <w:r>
              <w:rPr>
                <w:rFonts w:asciiTheme="minorHAnsi" w:hAnsiTheme="minorHAnsi"/>
              </w:rPr>
              <w:t xml:space="preserve"> </w:t>
            </w:r>
            <w:r w:rsidR="00034DEE" w:rsidRPr="00E441D9">
              <w:rPr>
                <w:b/>
              </w:rPr>
              <w:t>Option A</w:t>
            </w:r>
          </w:p>
          <w:p w:rsidR="00034DEE" w:rsidRDefault="00034DEE" w:rsidP="00034DEE">
            <w:pPr>
              <w:rPr>
                <w:i/>
                <w:color w:val="FF0000"/>
              </w:rPr>
            </w:pPr>
            <w:r>
              <w:rPr>
                <w:i/>
              </w:rPr>
              <w:t>Each eligible BMP must be designed and constructed using quality standards defined by NRCS.</w:t>
            </w:r>
          </w:p>
          <w:p w:rsidR="00034DEE" w:rsidRDefault="00034DEE" w:rsidP="00034DEE">
            <w:pPr>
              <w:rPr>
                <w:rFonts w:asciiTheme="minorHAnsi" w:hAnsiTheme="minorHAnsi"/>
                <w:i/>
              </w:rPr>
            </w:pPr>
          </w:p>
          <w:p w:rsidR="00034DEE" w:rsidRDefault="00034DEE" w:rsidP="00034DEE">
            <w:pPr>
              <w:rPr>
                <w:rFonts w:asciiTheme="minorHAnsi" w:hAnsiTheme="minorHAnsi"/>
                <w:b/>
              </w:rPr>
            </w:pPr>
            <w:r>
              <w:rPr>
                <w:rFonts w:asciiTheme="minorHAnsi" w:hAnsiTheme="minorHAnsi"/>
                <w:b/>
              </w:rPr>
              <w:t>Who does it this way?</w:t>
            </w:r>
          </w:p>
          <w:p w:rsidR="00034DEE" w:rsidRPr="00E441D9" w:rsidRDefault="00034DEE" w:rsidP="00034DEE">
            <w:r>
              <w:rPr>
                <w:rFonts w:asciiTheme="minorHAnsi" w:hAnsiTheme="minorHAnsi"/>
              </w:rPr>
              <w:t xml:space="preserve">Most trading programs in the Midwest use NRCS practice standards. </w:t>
            </w:r>
            <w:r w:rsidR="003E33D3" w:rsidRPr="007009ED">
              <w:rPr>
                <w:rFonts w:asciiTheme="minorHAnsi" w:hAnsiTheme="minorHAnsi" w:cs="Arial"/>
                <w:bCs/>
              </w:rPr>
              <w:t xml:space="preserve">Idaho’s Lower Boise program engaged a </w:t>
            </w:r>
            <w:r w:rsidR="003E33D3">
              <w:rPr>
                <w:rFonts w:asciiTheme="minorHAnsi" w:hAnsiTheme="minorHAnsi" w:cs="Arial"/>
                <w:bCs/>
              </w:rPr>
              <w:t xml:space="preserve">state BMP </w:t>
            </w:r>
            <w:r w:rsidR="003E33D3" w:rsidRPr="007009ED">
              <w:rPr>
                <w:rFonts w:asciiTheme="minorHAnsi" w:hAnsiTheme="minorHAnsi" w:cs="Arial"/>
                <w:bCs/>
              </w:rPr>
              <w:t>technical committee</w:t>
            </w:r>
            <w:r w:rsidR="003E33D3">
              <w:rPr>
                <w:rFonts w:asciiTheme="minorHAnsi" w:hAnsiTheme="minorHAnsi" w:cs="Arial"/>
                <w:bCs/>
              </w:rPr>
              <w:t xml:space="preserve"> that used the NRCS FOTG standards, and hired a former Agriculture Research Service scientist to develop the equations for each practice to quantify the reductions based on the design standards.</w:t>
            </w:r>
          </w:p>
          <w:p w:rsidR="00034DEE" w:rsidRDefault="00034DEE" w:rsidP="009E6D3F">
            <w:pPr>
              <w:pStyle w:val="Default"/>
              <w:spacing w:before="120" w:after="120"/>
              <w:rPr>
                <w:rFonts w:asciiTheme="minorHAnsi" w:hAnsiTheme="minorHAnsi" w:cs="Arial"/>
                <w:bCs/>
                <w:u w:val="single"/>
              </w:rPr>
            </w:pPr>
          </w:p>
        </w:tc>
        <w:tc>
          <w:tcPr>
            <w:tcW w:w="5076" w:type="dxa"/>
          </w:tcPr>
          <w:p w:rsidR="00034DEE" w:rsidRPr="00E441D9" w:rsidRDefault="00034DEE" w:rsidP="00034DEE">
            <w:pPr>
              <w:rPr>
                <w:b/>
              </w:rPr>
            </w:pPr>
            <w:r>
              <w:rPr>
                <w:b/>
              </w:rPr>
              <w:t>Option B</w:t>
            </w:r>
          </w:p>
          <w:p w:rsidR="00034DEE" w:rsidRDefault="00034DEE" w:rsidP="00034DEE">
            <w:pPr>
              <w:rPr>
                <w:i/>
                <w:color w:val="FF0000"/>
              </w:rPr>
            </w:pPr>
            <w:r>
              <w:rPr>
                <w:i/>
              </w:rPr>
              <w:t xml:space="preserve">Each eligible BMP must be designed and constructed using quality standards defined </w:t>
            </w:r>
            <w:r w:rsidR="007009ED">
              <w:rPr>
                <w:i/>
              </w:rPr>
              <w:t xml:space="preserve">and </w:t>
            </w:r>
            <w:r>
              <w:rPr>
                <w:i/>
              </w:rPr>
              <w:t>approved by a state agency.</w:t>
            </w:r>
          </w:p>
          <w:p w:rsidR="00034DEE" w:rsidRDefault="00034DEE" w:rsidP="00034DEE">
            <w:pPr>
              <w:rPr>
                <w:rFonts w:asciiTheme="minorHAnsi" w:hAnsiTheme="minorHAnsi"/>
                <w:i/>
              </w:rPr>
            </w:pPr>
          </w:p>
          <w:p w:rsidR="00034DEE" w:rsidRDefault="00034DEE" w:rsidP="00034DEE">
            <w:pPr>
              <w:rPr>
                <w:rFonts w:asciiTheme="minorHAnsi" w:hAnsiTheme="minorHAnsi"/>
                <w:b/>
              </w:rPr>
            </w:pPr>
            <w:r w:rsidRPr="00E441D9">
              <w:rPr>
                <w:rFonts w:asciiTheme="minorHAnsi" w:hAnsiTheme="minorHAnsi"/>
                <w:b/>
              </w:rPr>
              <w:t>Who does it this way?</w:t>
            </w:r>
          </w:p>
          <w:p w:rsidR="00034DEE" w:rsidRDefault="00034DEE" w:rsidP="003E33D3">
            <w:pPr>
              <w:rPr>
                <w:rFonts w:asciiTheme="minorHAnsi" w:hAnsiTheme="minorHAnsi" w:cs="Arial"/>
                <w:bCs/>
                <w:u w:val="single"/>
              </w:rPr>
            </w:pPr>
            <w:r>
              <w:rPr>
                <w:rFonts w:asciiTheme="minorHAnsi" w:hAnsiTheme="minorHAnsi"/>
              </w:rPr>
              <w:t xml:space="preserve">In Medford, riparian plantings use quality standards defined by a stakeholder group of riparian restoration professionals and incorporated into DEQ’s Internal Management Directive. </w:t>
            </w:r>
          </w:p>
        </w:tc>
      </w:tr>
    </w:tbl>
    <w:p w:rsidR="00E441D9" w:rsidRDefault="00232030" w:rsidP="00C616A9">
      <w:pPr>
        <w:pStyle w:val="Default"/>
        <w:spacing w:before="120" w:after="120"/>
        <w:rPr>
          <w:rFonts w:asciiTheme="minorHAnsi" w:hAnsiTheme="minorHAnsi" w:cs="Arial"/>
          <w:bCs/>
          <w:u w:val="single"/>
        </w:rPr>
      </w:pPr>
      <w:r w:rsidRPr="00232030">
        <w:rPr>
          <w:rFonts w:asciiTheme="minorHAnsi" w:hAnsiTheme="minorHAnsi" w:cs="Arial"/>
          <w:bCs/>
          <w:noProof/>
          <w:u w:val="single"/>
        </w:rPr>
        <w:t>Performance</w:t>
      </w:r>
      <w:r w:rsidRPr="00232030">
        <w:rPr>
          <w:rFonts w:asciiTheme="minorHAnsi" w:hAnsiTheme="minorHAnsi" w:cs="Arial"/>
          <w:bCs/>
          <w:u w:val="single"/>
        </w:rPr>
        <w:t xml:space="preserve"> standards </w:t>
      </w:r>
      <w:r>
        <w:rPr>
          <w:rFonts w:asciiTheme="minorHAnsi" w:hAnsiTheme="minorHAnsi" w:cs="Arial"/>
          <w:bCs/>
          <w:u w:val="single"/>
        </w:rPr>
        <w:t>for BMP operation and maintenance</w:t>
      </w:r>
    </w:p>
    <w:tbl>
      <w:tblPr>
        <w:tblStyle w:val="TableGrid"/>
        <w:tblW w:w="0" w:type="auto"/>
        <w:tblLook w:val="04A0"/>
      </w:tblPr>
      <w:tblGrid>
        <w:gridCol w:w="5076"/>
        <w:gridCol w:w="5076"/>
      </w:tblGrid>
      <w:tr w:rsidR="00034DEE" w:rsidTr="00482889">
        <w:tc>
          <w:tcPr>
            <w:tcW w:w="5076" w:type="dxa"/>
          </w:tcPr>
          <w:p w:rsidR="00034DEE" w:rsidRPr="00E441D9" w:rsidRDefault="00034DEE" w:rsidP="00034DEE">
            <w:pPr>
              <w:rPr>
                <w:b/>
              </w:rPr>
            </w:pPr>
            <w:r w:rsidRPr="00E441D9">
              <w:rPr>
                <w:b/>
              </w:rPr>
              <w:t>Option A</w:t>
            </w:r>
          </w:p>
          <w:p w:rsidR="00034DEE" w:rsidRDefault="00034DEE" w:rsidP="00034DEE">
            <w:pPr>
              <w:rPr>
                <w:i/>
                <w:color w:val="FF0000"/>
              </w:rPr>
            </w:pPr>
            <w:r>
              <w:rPr>
                <w:i/>
              </w:rPr>
              <w:t>Each eligible BMP must be maintained according to NRCS performance standards.</w:t>
            </w:r>
          </w:p>
          <w:p w:rsidR="00034DEE" w:rsidRDefault="00034DEE" w:rsidP="00034DEE">
            <w:pPr>
              <w:rPr>
                <w:rFonts w:asciiTheme="minorHAnsi" w:hAnsiTheme="minorHAnsi"/>
                <w:i/>
              </w:rPr>
            </w:pPr>
          </w:p>
          <w:p w:rsidR="00034DEE" w:rsidRDefault="00034DEE" w:rsidP="00034DEE">
            <w:pPr>
              <w:rPr>
                <w:rFonts w:asciiTheme="minorHAnsi" w:hAnsiTheme="minorHAnsi"/>
                <w:b/>
              </w:rPr>
            </w:pPr>
            <w:r>
              <w:rPr>
                <w:rFonts w:asciiTheme="minorHAnsi" w:hAnsiTheme="minorHAnsi"/>
                <w:b/>
              </w:rPr>
              <w:t>Who does it this way?</w:t>
            </w:r>
          </w:p>
          <w:p w:rsidR="00034DEE" w:rsidRDefault="00034DEE" w:rsidP="00D35D74">
            <w:pPr>
              <w:rPr>
                <w:rFonts w:asciiTheme="minorHAnsi" w:hAnsiTheme="minorHAnsi" w:cs="Arial"/>
                <w:bCs/>
                <w:u w:val="single"/>
              </w:rPr>
            </w:pPr>
            <w:r>
              <w:rPr>
                <w:rFonts w:asciiTheme="minorHAnsi" w:hAnsiTheme="minorHAnsi"/>
              </w:rPr>
              <w:t xml:space="preserve">Most trading programs in the Midwest use NRCS practice standards. </w:t>
            </w:r>
            <w:r w:rsidR="003E33D3" w:rsidRPr="007009ED">
              <w:rPr>
                <w:rFonts w:asciiTheme="minorHAnsi" w:hAnsiTheme="minorHAnsi" w:cs="Arial"/>
                <w:bCs/>
              </w:rPr>
              <w:t xml:space="preserve">Idaho’s Lower Boise program engaged a </w:t>
            </w:r>
            <w:r w:rsidR="003E33D3">
              <w:rPr>
                <w:rFonts w:asciiTheme="minorHAnsi" w:hAnsiTheme="minorHAnsi" w:cs="Arial"/>
                <w:bCs/>
              </w:rPr>
              <w:t xml:space="preserve">state BMP </w:t>
            </w:r>
            <w:r w:rsidR="003E33D3" w:rsidRPr="007009ED">
              <w:rPr>
                <w:rFonts w:asciiTheme="minorHAnsi" w:hAnsiTheme="minorHAnsi" w:cs="Arial"/>
                <w:bCs/>
              </w:rPr>
              <w:t>technical committee</w:t>
            </w:r>
            <w:r w:rsidR="003E33D3">
              <w:rPr>
                <w:rFonts w:asciiTheme="minorHAnsi" w:hAnsiTheme="minorHAnsi" w:cs="Arial"/>
                <w:bCs/>
              </w:rPr>
              <w:t xml:space="preserve"> that used the NRCS FOTG standards.</w:t>
            </w:r>
          </w:p>
        </w:tc>
        <w:tc>
          <w:tcPr>
            <w:tcW w:w="5076" w:type="dxa"/>
          </w:tcPr>
          <w:p w:rsidR="00034DEE" w:rsidRPr="00E441D9" w:rsidRDefault="00034DEE" w:rsidP="00034DEE">
            <w:pPr>
              <w:rPr>
                <w:b/>
              </w:rPr>
            </w:pPr>
            <w:r>
              <w:rPr>
                <w:b/>
              </w:rPr>
              <w:t>Option B</w:t>
            </w:r>
          </w:p>
          <w:p w:rsidR="00034DEE" w:rsidRDefault="00034DEE" w:rsidP="00034DEE">
            <w:pPr>
              <w:rPr>
                <w:i/>
                <w:color w:val="FF0000"/>
              </w:rPr>
            </w:pPr>
            <w:r>
              <w:rPr>
                <w:i/>
              </w:rPr>
              <w:t>Each eligible BMP must be maintained according to performance standards approved by a state agency.</w:t>
            </w:r>
          </w:p>
          <w:p w:rsidR="00034DEE" w:rsidRDefault="00034DEE" w:rsidP="00034DEE">
            <w:pPr>
              <w:rPr>
                <w:rFonts w:asciiTheme="minorHAnsi" w:hAnsiTheme="minorHAnsi"/>
                <w:i/>
              </w:rPr>
            </w:pPr>
          </w:p>
          <w:p w:rsidR="00034DEE" w:rsidRDefault="00FC438F" w:rsidP="00034DEE">
            <w:pPr>
              <w:rPr>
                <w:rFonts w:asciiTheme="minorHAnsi" w:hAnsiTheme="minorHAnsi"/>
                <w:b/>
              </w:rPr>
            </w:pPr>
            <w:r>
              <w:rPr>
                <w:rFonts w:asciiTheme="minorHAnsi" w:hAnsiTheme="minorHAnsi"/>
                <w:b/>
              </w:rPr>
              <w:t>Who does it this way</w:t>
            </w:r>
            <w:r w:rsidR="007009ED">
              <w:rPr>
                <w:rFonts w:asciiTheme="minorHAnsi" w:hAnsiTheme="minorHAnsi"/>
                <w:b/>
              </w:rPr>
              <w:t>?</w:t>
            </w:r>
          </w:p>
          <w:p w:rsidR="00034DEE" w:rsidRPr="007009ED" w:rsidRDefault="007009ED" w:rsidP="003E33D3">
            <w:pPr>
              <w:rPr>
                <w:rFonts w:asciiTheme="minorHAnsi" w:hAnsiTheme="minorHAnsi"/>
              </w:rPr>
            </w:pPr>
            <w:r>
              <w:rPr>
                <w:rFonts w:asciiTheme="minorHAnsi" w:hAnsiTheme="minorHAnsi"/>
              </w:rPr>
              <w:t xml:space="preserve">In Medford, riparian plantings use quality standards defined by a stakeholder group of riparian restoration professionals and incorporated into DEQ’s Internal Management Directive. </w:t>
            </w:r>
          </w:p>
        </w:tc>
      </w:tr>
    </w:tbl>
    <w:p w:rsidR="009E6D3F" w:rsidRDefault="009E6D3F" w:rsidP="00C60074">
      <w:pPr>
        <w:pStyle w:val="Default"/>
        <w:spacing w:before="240"/>
        <w:rPr>
          <w:rFonts w:asciiTheme="minorHAnsi" w:hAnsiTheme="minorHAnsi"/>
          <w:b/>
        </w:rPr>
      </w:pPr>
    </w:p>
    <w:p w:rsidR="00C60074" w:rsidRDefault="00C60074" w:rsidP="00C60074">
      <w:pPr>
        <w:pStyle w:val="Default"/>
        <w:spacing w:before="240"/>
        <w:rPr>
          <w:rFonts w:asciiTheme="minorHAnsi" w:hAnsiTheme="minorHAnsi"/>
          <w:b/>
        </w:rPr>
      </w:pPr>
    </w:p>
    <w:p w:rsidR="003E33D3" w:rsidRPr="006C2354" w:rsidRDefault="003E33D3" w:rsidP="003E33D3">
      <w:pPr>
        <w:pStyle w:val="Default"/>
        <w:rPr>
          <w:rFonts w:asciiTheme="minorHAnsi" w:hAnsiTheme="minorHAnsi"/>
          <w:b/>
          <w:u w:val="single"/>
        </w:rPr>
      </w:pPr>
      <w:r>
        <w:rPr>
          <w:rFonts w:asciiTheme="minorHAnsi" w:hAnsiTheme="minorHAnsi"/>
          <w:b/>
        </w:rPr>
        <w:t xml:space="preserve">II. </w:t>
      </w:r>
      <w:r w:rsidRPr="006C2354">
        <w:rPr>
          <w:rFonts w:asciiTheme="minorHAnsi" w:hAnsiTheme="minorHAnsi"/>
          <w:b/>
        </w:rPr>
        <w:t xml:space="preserve">Questions to consider: </w:t>
      </w:r>
    </w:p>
    <w:p w:rsidR="003E33D3" w:rsidRDefault="003E33D3" w:rsidP="003E33D3">
      <w:pPr>
        <w:pStyle w:val="Default"/>
        <w:rPr>
          <w:rFonts w:asciiTheme="minorHAnsi" w:hAnsiTheme="minorHAnsi"/>
          <w:b/>
        </w:rPr>
      </w:pPr>
      <w:r>
        <w:rPr>
          <w:rFonts w:asciiTheme="minorHAnsi" w:hAnsiTheme="minorHAnsi"/>
        </w:rPr>
        <w:t xml:space="preserve">When and where are additional standards (above NRCS standards) needed?  Does it make sense to establish additional standards for BMPs generating credits, rather than address water quality concerns with NRCS standards in another venue?  </w:t>
      </w:r>
    </w:p>
    <w:p w:rsidR="003E33D3" w:rsidRDefault="003E33D3" w:rsidP="007125DE">
      <w:pPr>
        <w:pStyle w:val="Default"/>
        <w:rPr>
          <w:rFonts w:asciiTheme="minorHAnsi" w:hAnsiTheme="minorHAnsi"/>
          <w:b/>
        </w:rPr>
      </w:pPr>
    </w:p>
    <w:p w:rsidR="005D58F9" w:rsidRPr="004D4D2A" w:rsidRDefault="00E441D9" w:rsidP="007125DE">
      <w:pPr>
        <w:pStyle w:val="Default"/>
        <w:rPr>
          <w:rFonts w:asciiTheme="minorHAnsi" w:hAnsiTheme="minorHAnsi"/>
          <w:b/>
        </w:rPr>
      </w:pPr>
      <w:r w:rsidRPr="004D4D2A">
        <w:rPr>
          <w:rFonts w:asciiTheme="minorHAnsi" w:hAnsiTheme="minorHAnsi"/>
          <w:b/>
        </w:rPr>
        <w:t>I</w:t>
      </w:r>
      <w:r w:rsidR="003E33D3">
        <w:rPr>
          <w:rFonts w:asciiTheme="minorHAnsi" w:hAnsiTheme="minorHAnsi"/>
          <w:b/>
        </w:rPr>
        <w:t>I</w:t>
      </w:r>
      <w:r w:rsidRPr="004D4D2A">
        <w:rPr>
          <w:rFonts w:asciiTheme="minorHAnsi" w:hAnsiTheme="minorHAnsi"/>
          <w:b/>
        </w:rPr>
        <w:t xml:space="preserve">I. </w:t>
      </w:r>
      <w:r w:rsidR="004D4D2A">
        <w:rPr>
          <w:rFonts w:asciiTheme="minorHAnsi" w:hAnsiTheme="minorHAnsi"/>
          <w:b/>
        </w:rPr>
        <w:t>Recommended d</w:t>
      </w:r>
      <w:r w:rsidRPr="004D4D2A">
        <w:rPr>
          <w:rFonts w:asciiTheme="minorHAnsi" w:hAnsiTheme="minorHAnsi"/>
          <w:b/>
        </w:rPr>
        <w:t>efault</w:t>
      </w:r>
    </w:p>
    <w:p w:rsidR="007F7496" w:rsidRPr="007F7496" w:rsidRDefault="009E6D3F" w:rsidP="007F7496">
      <w:pPr>
        <w:pStyle w:val="Default"/>
        <w:tabs>
          <w:tab w:val="left" w:pos="810"/>
        </w:tabs>
        <w:rPr>
          <w:rFonts w:ascii="Calibri" w:hAnsi="Calibri"/>
        </w:rPr>
      </w:pPr>
      <w:r>
        <w:rPr>
          <w:rFonts w:ascii="Calibri" w:hAnsi="Calibri"/>
        </w:rPr>
        <w:t>All BMPs</w:t>
      </w:r>
      <w:r w:rsidR="00E32CCD">
        <w:rPr>
          <w:rFonts w:ascii="Calibri" w:hAnsi="Calibri"/>
        </w:rPr>
        <w:t xml:space="preserve"> must be designed and maintained to meet or exceed standards approved by the state water quality agencies. Those standards, at a minimum, should be built from NRCS practice standards. State-level standards may add more specificity or requirements as necessary.</w:t>
      </w:r>
    </w:p>
    <w:p w:rsidR="00E441D9" w:rsidRDefault="00E441D9" w:rsidP="007125DE">
      <w:pPr>
        <w:pStyle w:val="Default"/>
        <w:rPr>
          <w:rFonts w:asciiTheme="minorHAnsi" w:hAnsiTheme="minorHAnsi"/>
        </w:rPr>
      </w:pPr>
    </w:p>
    <w:p w:rsidR="004D4D2A" w:rsidRPr="004D4D2A" w:rsidRDefault="003E33D3" w:rsidP="007125DE">
      <w:pPr>
        <w:pStyle w:val="Default"/>
        <w:rPr>
          <w:rFonts w:asciiTheme="minorHAnsi" w:hAnsiTheme="minorHAnsi"/>
          <w:b/>
        </w:rPr>
      </w:pPr>
      <w:r>
        <w:rPr>
          <w:rFonts w:asciiTheme="minorHAnsi" w:hAnsiTheme="minorHAnsi"/>
          <w:b/>
        </w:rPr>
        <w:t>IV</w:t>
      </w:r>
      <w:r w:rsidR="004D4D2A" w:rsidRPr="004D4D2A">
        <w:rPr>
          <w:rFonts w:asciiTheme="minorHAnsi" w:hAnsiTheme="minorHAnsi"/>
          <w:b/>
        </w:rPr>
        <w:t>. Reasons to deviate from the default</w:t>
      </w:r>
    </w:p>
    <w:p w:rsidR="004C5EAC" w:rsidRDefault="00E32CCD" w:rsidP="00A2460C">
      <w:pPr>
        <w:pStyle w:val="Default"/>
        <w:rPr>
          <w:rFonts w:asciiTheme="minorHAnsi" w:hAnsiTheme="minorHAnsi"/>
        </w:rPr>
      </w:pPr>
      <w:r>
        <w:rPr>
          <w:rFonts w:asciiTheme="minorHAnsi" w:hAnsiTheme="minorHAnsi"/>
        </w:rPr>
        <w:t>There may be site-specific considerations for some BMPs that require some flexibility. In these cases, trading programs should define some process for approving a site-specific set of quality and performance standards.</w:t>
      </w:r>
      <w:r w:rsidR="007F7496">
        <w:rPr>
          <w:rFonts w:asciiTheme="minorHAnsi" w:hAnsiTheme="minorHAnsi"/>
        </w:rPr>
        <w:t xml:space="preserve"> </w:t>
      </w:r>
      <w:r w:rsidR="0062440F">
        <w:rPr>
          <w:rFonts w:asciiTheme="minorHAnsi" w:hAnsiTheme="minorHAnsi"/>
        </w:rPr>
        <w:t xml:space="preserve"> </w:t>
      </w:r>
    </w:p>
    <w:p w:rsidR="00BF0336" w:rsidRDefault="00BF0336" w:rsidP="00A2460C">
      <w:pPr>
        <w:pStyle w:val="Default"/>
        <w:rPr>
          <w:rFonts w:asciiTheme="minorHAnsi" w:hAnsiTheme="minorHAnsi"/>
        </w:rPr>
      </w:pPr>
    </w:p>
    <w:p w:rsidR="00BF0336" w:rsidRPr="004D4D2A" w:rsidRDefault="00BF0336" w:rsidP="00BF0336">
      <w:pPr>
        <w:pStyle w:val="Default"/>
        <w:rPr>
          <w:rFonts w:asciiTheme="minorHAnsi" w:hAnsiTheme="minorHAnsi"/>
          <w:b/>
        </w:rPr>
      </w:pPr>
      <w:r>
        <w:rPr>
          <w:rFonts w:asciiTheme="minorHAnsi" w:hAnsiTheme="minorHAnsi"/>
          <w:b/>
        </w:rPr>
        <w:t>V</w:t>
      </w:r>
      <w:r w:rsidRPr="004D4D2A">
        <w:rPr>
          <w:rFonts w:asciiTheme="minorHAnsi" w:hAnsiTheme="minorHAnsi"/>
          <w:b/>
        </w:rPr>
        <w:t xml:space="preserve">. </w:t>
      </w:r>
      <w:r>
        <w:rPr>
          <w:rFonts w:asciiTheme="minorHAnsi" w:hAnsiTheme="minorHAnsi"/>
          <w:b/>
        </w:rPr>
        <w:t>Comparing some of the existing quality a</w:t>
      </w:r>
      <w:r w:rsidR="00CC258F">
        <w:rPr>
          <w:rFonts w:asciiTheme="minorHAnsi" w:hAnsiTheme="minorHAnsi"/>
          <w:b/>
        </w:rPr>
        <w:t>nd performance standards from NRCS, OR, and ID</w:t>
      </w:r>
    </w:p>
    <w:p w:rsidR="00BF0336" w:rsidRDefault="00BF0336" w:rsidP="00A2460C">
      <w:pPr>
        <w:pStyle w:val="Default"/>
        <w:rPr>
          <w:rFonts w:asciiTheme="minorHAnsi" w:hAnsiTheme="minorHAnsi"/>
        </w:rPr>
      </w:pPr>
    </w:p>
    <w:tbl>
      <w:tblPr>
        <w:tblW w:w="0" w:type="auto"/>
        <w:tblInd w:w="93" w:type="dxa"/>
        <w:tblLook w:val="04A0"/>
      </w:tblPr>
      <w:tblGrid>
        <w:gridCol w:w="1204"/>
        <w:gridCol w:w="1634"/>
        <w:gridCol w:w="2874"/>
        <w:gridCol w:w="2647"/>
        <w:gridCol w:w="1700"/>
      </w:tblGrid>
      <w:tr w:rsidR="00D35D74" w:rsidRPr="00D35D74" w:rsidTr="00D35D74">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35D74" w:rsidRPr="00D35D74" w:rsidRDefault="00CC258F" w:rsidP="00D35D74">
            <w:pPr>
              <w:jc w:val="center"/>
              <w:rPr>
                <w:rFonts w:eastAsia="Times New Roman" w:cs="Calibri"/>
                <w:color w:val="000000"/>
              </w:rPr>
            </w:pPr>
            <w:r w:rsidRPr="00D35D74">
              <w:rPr>
                <w:rFonts w:eastAsia="Times New Roman" w:cs="Calibri"/>
                <w:color w:val="000000"/>
              </w:rPr>
              <w:t>Best Management Practice</w:t>
            </w:r>
            <w:r w:rsidR="00D35D74" w:rsidRPr="00D35D74">
              <w:rPr>
                <w:rFonts w:eastAsia="Times New Roman" w:cs="Calibri"/>
                <w:color w:val="000000"/>
              </w:rPr>
              <w:t> </w:t>
            </w:r>
          </w:p>
        </w:tc>
        <w:tc>
          <w:tcPr>
            <w:tcW w:w="0" w:type="auto"/>
            <w:gridSpan w:val="3"/>
            <w:tcBorders>
              <w:top w:val="single" w:sz="4" w:space="0" w:color="auto"/>
              <w:left w:val="nil"/>
              <w:bottom w:val="single" w:sz="4" w:space="0" w:color="auto"/>
              <w:right w:val="single" w:sz="4" w:space="0" w:color="auto"/>
            </w:tcBorders>
            <w:shd w:val="clear" w:color="000000" w:fill="DAEEF3"/>
            <w:noWrap/>
            <w:vAlign w:val="center"/>
            <w:hideMark/>
          </w:tcPr>
          <w:p w:rsidR="00D35D74" w:rsidRPr="00D35D74" w:rsidRDefault="00D35D74" w:rsidP="00D35D74">
            <w:pPr>
              <w:jc w:val="center"/>
              <w:rPr>
                <w:rFonts w:eastAsia="Times New Roman" w:cs="Calibri"/>
                <w:color w:val="000000"/>
              </w:rPr>
            </w:pPr>
            <w:r w:rsidRPr="00D35D74">
              <w:rPr>
                <w:rFonts w:eastAsia="Times New Roman" w:cs="Calibri"/>
                <w:color w:val="000000"/>
              </w:rPr>
              <w:t>Implementation Standards</w:t>
            </w:r>
          </w:p>
        </w:tc>
      </w:tr>
      <w:tr w:rsidR="00CC258F" w:rsidRPr="00D35D74" w:rsidTr="00A7008F">
        <w:trPr>
          <w:trHeight w:val="900"/>
        </w:trPr>
        <w:tc>
          <w:tcPr>
            <w:tcW w:w="0" w:type="auto"/>
            <w:tcBorders>
              <w:top w:val="single" w:sz="4" w:space="0" w:color="auto"/>
              <w:left w:val="single" w:sz="4" w:space="0" w:color="auto"/>
              <w:bottom w:val="single" w:sz="4" w:space="0" w:color="auto"/>
              <w:right w:val="single" w:sz="4" w:space="0" w:color="000000"/>
            </w:tcBorders>
            <w:shd w:val="clear" w:color="000000" w:fill="DAEEF3"/>
            <w:vAlign w:val="center"/>
            <w:hideMark/>
          </w:tcPr>
          <w:p w:rsidR="00CC258F" w:rsidRPr="00D35D74" w:rsidRDefault="00CC258F" w:rsidP="00D35D74">
            <w:pPr>
              <w:jc w:val="center"/>
              <w:rPr>
                <w:rFonts w:eastAsia="Times New Roman" w:cs="Calibri"/>
                <w:color w:val="000000"/>
              </w:rPr>
            </w:pPr>
            <w:r>
              <w:rPr>
                <w:rFonts w:eastAsia="Times New Roman" w:cs="Calibri"/>
                <w:color w:val="000000"/>
              </w:rPr>
              <w:t>Practice Type</w:t>
            </w:r>
          </w:p>
        </w:tc>
        <w:tc>
          <w:tcPr>
            <w:tcW w:w="0" w:type="auto"/>
            <w:tcBorders>
              <w:top w:val="single" w:sz="4" w:space="0" w:color="auto"/>
              <w:left w:val="single" w:sz="4" w:space="0" w:color="auto"/>
              <w:bottom w:val="single" w:sz="4" w:space="0" w:color="auto"/>
              <w:right w:val="single" w:sz="4" w:space="0" w:color="000000"/>
            </w:tcBorders>
            <w:shd w:val="clear" w:color="000000" w:fill="DAEEF3"/>
            <w:vAlign w:val="center"/>
          </w:tcPr>
          <w:p w:rsidR="00CC258F" w:rsidRPr="00D35D74" w:rsidRDefault="00CC258F" w:rsidP="00D35D74">
            <w:pPr>
              <w:jc w:val="center"/>
              <w:rPr>
                <w:rFonts w:eastAsia="Times New Roman" w:cs="Calibri"/>
                <w:color w:val="000000"/>
              </w:rPr>
            </w:pPr>
            <w:r>
              <w:rPr>
                <w:rFonts w:eastAsia="Times New Roman" w:cs="Calibri"/>
                <w:color w:val="000000"/>
              </w:rPr>
              <w:t>Practice</w:t>
            </w:r>
          </w:p>
        </w:tc>
        <w:tc>
          <w:tcPr>
            <w:tcW w:w="0" w:type="auto"/>
            <w:tcBorders>
              <w:top w:val="nil"/>
              <w:left w:val="nil"/>
              <w:bottom w:val="single" w:sz="4" w:space="0" w:color="auto"/>
              <w:right w:val="single" w:sz="4" w:space="0" w:color="auto"/>
            </w:tcBorders>
            <w:shd w:val="clear" w:color="000000" w:fill="DAEEF3"/>
            <w:vAlign w:val="center"/>
            <w:hideMark/>
          </w:tcPr>
          <w:p w:rsidR="00CC258F" w:rsidRPr="00D35D74" w:rsidRDefault="00CC258F" w:rsidP="00D35D74">
            <w:pPr>
              <w:rPr>
                <w:rFonts w:eastAsia="Times New Roman" w:cs="Calibri"/>
                <w:color w:val="000000"/>
              </w:rPr>
            </w:pPr>
            <w:r w:rsidRPr="00D35D74">
              <w:rPr>
                <w:rFonts w:eastAsia="Times New Roman" w:cs="Calibri"/>
                <w:color w:val="000000"/>
              </w:rPr>
              <w:t>Natural Resources Conservation Service (NRCS):</w:t>
            </w:r>
            <w:r w:rsidRPr="00D35D74">
              <w:rPr>
                <w:rFonts w:eastAsia="Times New Roman" w:cs="Calibri"/>
                <w:color w:val="000000"/>
              </w:rPr>
              <w:br/>
              <w:t>Conservation Practice Standards</w:t>
            </w:r>
          </w:p>
        </w:tc>
        <w:tc>
          <w:tcPr>
            <w:tcW w:w="0" w:type="auto"/>
            <w:tcBorders>
              <w:top w:val="nil"/>
              <w:left w:val="nil"/>
              <w:bottom w:val="single" w:sz="4" w:space="0" w:color="auto"/>
              <w:right w:val="single" w:sz="4" w:space="0" w:color="auto"/>
            </w:tcBorders>
            <w:shd w:val="clear" w:color="000000" w:fill="DAEEF3"/>
            <w:vAlign w:val="center"/>
            <w:hideMark/>
          </w:tcPr>
          <w:p w:rsidR="00CC258F" w:rsidRPr="00D35D74" w:rsidRDefault="00CC258F" w:rsidP="00D35D74">
            <w:pPr>
              <w:rPr>
                <w:rFonts w:eastAsia="Times New Roman" w:cs="Calibri"/>
                <w:color w:val="000000"/>
              </w:rPr>
            </w:pPr>
            <w:r w:rsidRPr="00D35D74">
              <w:rPr>
                <w:rFonts w:eastAsia="Times New Roman" w:cs="Calibri"/>
                <w:color w:val="000000"/>
              </w:rPr>
              <w:t xml:space="preserve">Oregon DEQ: </w:t>
            </w:r>
            <w:r w:rsidRPr="00D35D74">
              <w:rPr>
                <w:rFonts w:eastAsia="Times New Roman" w:cs="Calibri"/>
                <w:color w:val="000000"/>
              </w:rPr>
              <w:br/>
              <w:t>Internal Management Directive</w:t>
            </w:r>
          </w:p>
        </w:tc>
        <w:tc>
          <w:tcPr>
            <w:tcW w:w="0" w:type="auto"/>
            <w:tcBorders>
              <w:top w:val="nil"/>
              <w:left w:val="nil"/>
              <w:bottom w:val="single" w:sz="4" w:space="0" w:color="auto"/>
              <w:right w:val="single" w:sz="4" w:space="0" w:color="auto"/>
            </w:tcBorders>
            <w:shd w:val="clear" w:color="000000" w:fill="DAEEF3"/>
            <w:vAlign w:val="center"/>
            <w:hideMark/>
          </w:tcPr>
          <w:p w:rsidR="00CC258F" w:rsidRPr="00D35D74" w:rsidRDefault="00CC258F" w:rsidP="00D35D74">
            <w:pPr>
              <w:rPr>
                <w:rFonts w:eastAsia="Times New Roman" w:cs="Calibri"/>
                <w:color w:val="000000"/>
              </w:rPr>
            </w:pPr>
            <w:r w:rsidRPr="00D35D74">
              <w:rPr>
                <w:rFonts w:eastAsia="Times New Roman" w:cs="Calibri"/>
                <w:color w:val="000000"/>
              </w:rPr>
              <w:t>Idaho DEQ:</w:t>
            </w:r>
            <w:r w:rsidRPr="00D35D74">
              <w:rPr>
                <w:rFonts w:eastAsia="Times New Roman" w:cs="Calibri"/>
                <w:color w:val="000000"/>
              </w:rPr>
              <w:br/>
              <w:t>Water Quality Trading Guidance</w:t>
            </w:r>
          </w:p>
        </w:tc>
      </w:tr>
      <w:tr w:rsidR="00CC258F" w:rsidRPr="00D35D74" w:rsidTr="00D35D74">
        <w:trPr>
          <w:trHeight w:val="4275"/>
        </w:trPr>
        <w:tc>
          <w:tcPr>
            <w:tcW w:w="0" w:type="auto"/>
            <w:vMerge w:val="restart"/>
            <w:tcBorders>
              <w:top w:val="nil"/>
              <w:left w:val="single" w:sz="4" w:space="0" w:color="auto"/>
              <w:bottom w:val="single" w:sz="4" w:space="0" w:color="000000"/>
              <w:right w:val="single" w:sz="4" w:space="0" w:color="auto"/>
            </w:tcBorders>
            <w:shd w:val="clear" w:color="000000" w:fill="F2F2F2"/>
            <w:vAlign w:val="center"/>
            <w:hideMark/>
          </w:tcPr>
          <w:p w:rsidR="00D35D74" w:rsidRPr="00D35D74" w:rsidRDefault="00D35D74" w:rsidP="00D35D74">
            <w:pPr>
              <w:jc w:val="center"/>
              <w:rPr>
                <w:rFonts w:eastAsia="Times New Roman" w:cs="Calibri"/>
                <w:color w:val="000000"/>
              </w:rPr>
            </w:pPr>
            <w:r w:rsidRPr="00D35D74">
              <w:rPr>
                <w:rFonts w:eastAsia="Times New Roman" w:cs="Calibri"/>
                <w:color w:val="000000"/>
              </w:rPr>
              <w:t>Structural Practice</w:t>
            </w:r>
          </w:p>
        </w:tc>
        <w:tc>
          <w:tcPr>
            <w:tcW w:w="0" w:type="auto"/>
            <w:tcBorders>
              <w:top w:val="nil"/>
              <w:left w:val="nil"/>
              <w:bottom w:val="single" w:sz="4" w:space="0" w:color="auto"/>
              <w:right w:val="single" w:sz="4" w:space="0" w:color="auto"/>
            </w:tcBorders>
            <w:shd w:val="clear" w:color="000000" w:fill="F2F2F2"/>
            <w:hideMark/>
          </w:tcPr>
          <w:p w:rsidR="00D35D74" w:rsidRPr="00D35D74" w:rsidRDefault="00D35D74" w:rsidP="00D35D74">
            <w:pPr>
              <w:rPr>
                <w:rFonts w:eastAsia="Times New Roman" w:cs="Calibri"/>
                <w:color w:val="000000"/>
              </w:rPr>
            </w:pPr>
            <w:r w:rsidRPr="00D35D74">
              <w:rPr>
                <w:rFonts w:eastAsia="Times New Roman" w:cs="Calibri"/>
                <w:color w:val="000000"/>
              </w:rPr>
              <w:t>Riparian Forest Restoration</w:t>
            </w:r>
          </w:p>
        </w:tc>
        <w:tc>
          <w:tcPr>
            <w:tcW w:w="0" w:type="auto"/>
            <w:tcBorders>
              <w:top w:val="nil"/>
              <w:left w:val="nil"/>
              <w:bottom w:val="single" w:sz="4" w:space="0" w:color="auto"/>
              <w:right w:val="single" w:sz="4" w:space="0" w:color="auto"/>
            </w:tcBorders>
            <w:shd w:val="clear" w:color="000000" w:fill="F2F2F2"/>
            <w:hideMark/>
          </w:tcPr>
          <w:p w:rsidR="00D35D74" w:rsidRPr="00D35D74" w:rsidRDefault="00D35D74" w:rsidP="00CC258F">
            <w:pPr>
              <w:spacing w:before="120"/>
              <w:rPr>
                <w:rFonts w:eastAsia="Times New Roman" w:cs="Calibri"/>
                <w:color w:val="000000"/>
                <w:sz w:val="18"/>
                <w:szCs w:val="16"/>
              </w:rPr>
            </w:pPr>
            <w:r w:rsidRPr="00D35D74">
              <w:rPr>
                <w:rFonts w:eastAsia="Times New Roman" w:cs="Calibri"/>
                <w:b/>
                <w:bCs/>
                <w:color w:val="000000"/>
                <w:sz w:val="18"/>
                <w:szCs w:val="16"/>
              </w:rPr>
              <w:t xml:space="preserve">Sample Criteria (Practice Code 391): </w:t>
            </w:r>
            <w:r w:rsidRPr="00D35D74">
              <w:rPr>
                <w:rFonts w:eastAsia="Times New Roman" w:cs="Calibri"/>
                <w:b/>
                <w:bCs/>
                <w:color w:val="000000"/>
                <w:sz w:val="18"/>
                <w:szCs w:val="16"/>
              </w:rPr>
              <w:br/>
            </w:r>
            <w:r w:rsidRPr="00D35D74">
              <w:rPr>
                <w:rFonts w:eastAsia="Times New Roman" w:cs="Calibri"/>
                <w:color w:val="000000"/>
                <w:sz w:val="18"/>
                <w:szCs w:val="16"/>
              </w:rPr>
              <w:t xml:space="preserve">• Buffer must be positioned appropriately and designed to achieve sufficient width, length, vertical structure/density and connectivity to accomplish the intended purpose. </w:t>
            </w:r>
            <w:r w:rsidRPr="00D35D74">
              <w:rPr>
                <w:rFonts w:eastAsia="Times New Roman" w:cs="Calibri"/>
                <w:color w:val="000000"/>
                <w:sz w:val="18"/>
                <w:szCs w:val="16"/>
              </w:rPr>
              <w:br/>
              <w:t>• Use tree and shrub species that are native and non-invasive. Substitution with improved and locally accepted cultivars or purpose-specific species is allowed. For plantings and seeding, only viable, high-quality and adapted plant materials will be used.</w:t>
            </w:r>
            <w:r w:rsidRPr="00D35D74">
              <w:rPr>
                <w:rFonts w:eastAsia="Times New Roman" w:cs="Calibri"/>
                <w:color w:val="000000"/>
                <w:sz w:val="18"/>
                <w:szCs w:val="16"/>
              </w:rPr>
              <w:br/>
              <w:t>• The minimum width shall be at least 35 feet measured horizontally on a line perpendicular to the water body beginning at the normal water line, bank-full elevation, or the top of the bank as determined locally.</w:t>
            </w:r>
          </w:p>
        </w:tc>
        <w:tc>
          <w:tcPr>
            <w:tcW w:w="0" w:type="auto"/>
            <w:tcBorders>
              <w:top w:val="nil"/>
              <w:left w:val="nil"/>
              <w:bottom w:val="single" w:sz="4" w:space="0" w:color="auto"/>
              <w:right w:val="single" w:sz="4" w:space="0" w:color="auto"/>
            </w:tcBorders>
            <w:shd w:val="clear" w:color="000000" w:fill="F2F2F2"/>
            <w:hideMark/>
          </w:tcPr>
          <w:p w:rsidR="00D35D74" w:rsidRPr="00D35D74" w:rsidRDefault="00D35D74" w:rsidP="00CC258F">
            <w:pPr>
              <w:rPr>
                <w:rFonts w:eastAsia="Times New Roman" w:cs="Calibri"/>
                <w:color w:val="000000"/>
                <w:sz w:val="18"/>
                <w:szCs w:val="16"/>
              </w:rPr>
            </w:pPr>
            <w:r w:rsidRPr="00D35D74">
              <w:rPr>
                <w:rFonts w:eastAsia="Times New Roman" w:cs="Calibri"/>
                <w:color w:val="000000"/>
                <w:sz w:val="18"/>
                <w:szCs w:val="16"/>
              </w:rPr>
              <w:t xml:space="preserve">NRCS Code 391 and; </w:t>
            </w:r>
            <w:r w:rsidRPr="00D35D74">
              <w:rPr>
                <w:rFonts w:eastAsia="Times New Roman" w:cs="Calibri"/>
                <w:color w:val="000000"/>
                <w:sz w:val="18"/>
                <w:szCs w:val="16"/>
              </w:rPr>
              <w:br/>
            </w:r>
            <w:r w:rsidRPr="00D35D74">
              <w:rPr>
                <w:rFonts w:eastAsia="Times New Roman" w:cs="Calibri"/>
                <w:color w:val="000000"/>
                <w:sz w:val="18"/>
                <w:szCs w:val="16"/>
              </w:rPr>
              <w:br/>
              <w:t xml:space="preserve">• All plant materials must come from locally-sourced seed within the same EPA </w:t>
            </w:r>
            <w:r w:rsidR="00F62A23" w:rsidRPr="00D35D74">
              <w:rPr>
                <w:rFonts w:eastAsia="Times New Roman" w:cs="Calibri"/>
                <w:color w:val="000000"/>
                <w:sz w:val="18"/>
                <w:szCs w:val="16"/>
              </w:rPr>
              <w:t>ecoregion.</w:t>
            </w:r>
            <w:r w:rsidRPr="00D35D74">
              <w:rPr>
                <w:rFonts w:eastAsia="Times New Roman" w:cs="Calibri"/>
                <w:color w:val="000000"/>
                <w:sz w:val="18"/>
                <w:szCs w:val="16"/>
              </w:rPr>
              <w:br/>
              <w:t>• Plantings must be based on appropriate plant community determined by local reference site. Unless different at the local reference site, the site must support a minimum of 1,600 stems per acre (average) at project year five.</w:t>
            </w:r>
            <w:r w:rsidRPr="00D35D74">
              <w:rPr>
                <w:rFonts w:eastAsia="Times New Roman" w:cs="Calibri"/>
                <w:color w:val="000000"/>
                <w:sz w:val="18"/>
                <w:szCs w:val="16"/>
              </w:rPr>
              <w:br/>
              <w:t xml:space="preserve">• The site must have no more than 10 percent </w:t>
            </w:r>
            <w:r w:rsidR="00F62A23" w:rsidRPr="00D35D74">
              <w:rPr>
                <w:rFonts w:eastAsia="Times New Roman" w:cs="Calibri"/>
                <w:color w:val="000000"/>
                <w:sz w:val="18"/>
                <w:szCs w:val="16"/>
              </w:rPr>
              <w:t>invasive shrub</w:t>
            </w:r>
            <w:r w:rsidRPr="00D35D74">
              <w:rPr>
                <w:rFonts w:eastAsia="Times New Roman" w:cs="Calibri"/>
                <w:color w:val="000000"/>
                <w:sz w:val="18"/>
                <w:szCs w:val="16"/>
              </w:rPr>
              <w:t xml:space="preserve"> or tree species, and no more than 20% invasive herbaceous species.</w:t>
            </w:r>
          </w:p>
        </w:tc>
        <w:tc>
          <w:tcPr>
            <w:tcW w:w="0" w:type="auto"/>
            <w:tcBorders>
              <w:top w:val="nil"/>
              <w:left w:val="nil"/>
              <w:bottom w:val="single" w:sz="4" w:space="0" w:color="auto"/>
              <w:right w:val="single" w:sz="4" w:space="0" w:color="auto"/>
            </w:tcBorders>
            <w:shd w:val="clear" w:color="000000" w:fill="F2F2F2"/>
            <w:noWrap/>
            <w:hideMark/>
          </w:tcPr>
          <w:p w:rsidR="00D35D74" w:rsidRPr="00D35D74" w:rsidRDefault="00D35D74" w:rsidP="00D35D74">
            <w:pPr>
              <w:rPr>
                <w:rFonts w:eastAsia="Times New Roman" w:cs="Calibri"/>
                <w:color w:val="000000"/>
                <w:sz w:val="18"/>
                <w:szCs w:val="16"/>
              </w:rPr>
            </w:pPr>
            <w:r w:rsidRPr="00D35D74">
              <w:rPr>
                <w:rFonts w:eastAsia="Times New Roman" w:cs="Calibri"/>
                <w:color w:val="000000"/>
                <w:sz w:val="18"/>
                <w:szCs w:val="16"/>
              </w:rPr>
              <w:t>N/A</w:t>
            </w:r>
          </w:p>
        </w:tc>
      </w:tr>
      <w:tr w:rsidR="00CC258F" w:rsidRPr="00D35D74" w:rsidTr="00D35D74">
        <w:trPr>
          <w:trHeight w:val="4275"/>
        </w:trPr>
        <w:tc>
          <w:tcPr>
            <w:tcW w:w="0" w:type="auto"/>
            <w:vMerge/>
            <w:tcBorders>
              <w:top w:val="nil"/>
              <w:left w:val="single" w:sz="4" w:space="0" w:color="auto"/>
              <w:bottom w:val="single" w:sz="4" w:space="0" w:color="000000"/>
              <w:right w:val="single" w:sz="4" w:space="0" w:color="auto"/>
            </w:tcBorders>
            <w:vAlign w:val="center"/>
            <w:hideMark/>
          </w:tcPr>
          <w:p w:rsidR="00D35D74" w:rsidRPr="00D35D74" w:rsidRDefault="00D35D74" w:rsidP="00D35D74">
            <w:pPr>
              <w:rPr>
                <w:rFonts w:eastAsia="Times New Roman" w:cs="Calibri"/>
                <w:color w:val="000000"/>
              </w:rPr>
            </w:pPr>
          </w:p>
        </w:tc>
        <w:tc>
          <w:tcPr>
            <w:tcW w:w="0" w:type="auto"/>
            <w:tcBorders>
              <w:top w:val="nil"/>
              <w:left w:val="nil"/>
              <w:bottom w:val="single" w:sz="4" w:space="0" w:color="auto"/>
              <w:right w:val="single" w:sz="4" w:space="0" w:color="auto"/>
            </w:tcBorders>
            <w:shd w:val="clear" w:color="000000" w:fill="F2F2F2"/>
            <w:hideMark/>
          </w:tcPr>
          <w:p w:rsidR="00D35D74" w:rsidRPr="00D35D74" w:rsidRDefault="00D35D74" w:rsidP="00D35D74">
            <w:pPr>
              <w:rPr>
                <w:rFonts w:eastAsia="Times New Roman" w:cs="Calibri"/>
                <w:color w:val="000000"/>
              </w:rPr>
            </w:pPr>
            <w:r w:rsidRPr="00D35D74">
              <w:rPr>
                <w:rFonts w:eastAsia="Times New Roman" w:cs="Calibri"/>
                <w:color w:val="000000"/>
              </w:rPr>
              <w:t>Sprinkler Irrigation</w:t>
            </w:r>
          </w:p>
        </w:tc>
        <w:tc>
          <w:tcPr>
            <w:tcW w:w="0" w:type="auto"/>
            <w:tcBorders>
              <w:top w:val="nil"/>
              <w:left w:val="nil"/>
              <w:bottom w:val="single" w:sz="4" w:space="0" w:color="auto"/>
              <w:right w:val="single" w:sz="4" w:space="0" w:color="auto"/>
            </w:tcBorders>
            <w:shd w:val="clear" w:color="000000" w:fill="F2F2F2"/>
            <w:hideMark/>
          </w:tcPr>
          <w:p w:rsidR="00D35D74" w:rsidRPr="00D35D74" w:rsidRDefault="00D35D74" w:rsidP="00CC258F">
            <w:pPr>
              <w:rPr>
                <w:rFonts w:eastAsia="Times New Roman" w:cs="Calibri"/>
                <w:color w:val="000000"/>
                <w:sz w:val="18"/>
                <w:szCs w:val="16"/>
              </w:rPr>
            </w:pPr>
            <w:r w:rsidRPr="00D35D74">
              <w:rPr>
                <w:rFonts w:eastAsia="Times New Roman" w:cs="Calibri"/>
                <w:b/>
                <w:bCs/>
                <w:color w:val="000000"/>
                <w:sz w:val="18"/>
                <w:szCs w:val="16"/>
              </w:rPr>
              <w:t xml:space="preserve">Sample Criteria (Practice Code 442): </w:t>
            </w:r>
            <w:r w:rsidRPr="00D35D74">
              <w:rPr>
                <w:rFonts w:eastAsia="Times New Roman" w:cs="Calibri"/>
                <w:b/>
                <w:bCs/>
                <w:color w:val="000000"/>
                <w:sz w:val="18"/>
                <w:szCs w:val="16"/>
              </w:rPr>
              <w:br/>
            </w:r>
            <w:r w:rsidRPr="00D35D74">
              <w:rPr>
                <w:rFonts w:eastAsia="Times New Roman" w:cs="Calibri"/>
                <w:color w:val="000000"/>
                <w:sz w:val="18"/>
                <w:szCs w:val="16"/>
              </w:rPr>
              <w:t>• Design Application Rate. Rates shall be selected such that runoff, translocation, and unplanned deep percolation are minimized.</w:t>
            </w:r>
            <w:r w:rsidRPr="00D35D74">
              <w:rPr>
                <w:rFonts w:eastAsia="Times New Roman" w:cs="Calibri"/>
                <w:color w:val="000000"/>
                <w:sz w:val="18"/>
                <w:szCs w:val="16"/>
              </w:rPr>
              <w:br/>
              <w:t xml:space="preserve">• </w:t>
            </w:r>
            <w:r w:rsidRPr="00D35D74">
              <w:rPr>
                <w:rFonts w:eastAsia="Times New Roman" w:cs="Calibri"/>
                <w:color w:val="000000"/>
                <w:sz w:val="18"/>
                <w:szCs w:val="16"/>
                <w:u w:val="single"/>
              </w:rPr>
              <w:t>Criteria for Low Energy Precision Application and Low Elevation Spray Application: Distribution Patterns-</w:t>
            </w:r>
            <w:r w:rsidRPr="00D35D74">
              <w:rPr>
                <w:rFonts w:eastAsia="Times New Roman" w:cs="Calibri"/>
                <w:color w:val="000000"/>
                <w:sz w:val="18"/>
                <w:szCs w:val="16"/>
              </w:rPr>
              <w:t xml:space="preserve"> For center pivot systems, nozzle discharge CU using the Heermann-Hein weighted area method shall be used in selecting sprinkler spacing, nozzle size, and operating pressure. Nozzle discharge CU shall not be less than 94% of the calculated design flow rate needed at the discharge point. For linear systems, discharge shall be based on equivalent unit areas. </w:t>
            </w:r>
            <w:r w:rsidRPr="00D35D74">
              <w:rPr>
                <w:rFonts w:eastAsia="Times New Roman" w:cs="Calibri"/>
                <w:color w:val="000000"/>
                <w:sz w:val="18"/>
                <w:szCs w:val="16"/>
                <w:u w:val="single"/>
              </w:rPr>
              <w:t>Nozzle Spacing-</w:t>
            </w:r>
            <w:r w:rsidRPr="00D35D74">
              <w:rPr>
                <w:rFonts w:eastAsia="Times New Roman" w:cs="Calibri"/>
                <w:color w:val="000000"/>
                <w:sz w:val="18"/>
                <w:szCs w:val="16"/>
              </w:rPr>
              <w:t xml:space="preserve"> Nozzle spacing shall not be greater than two times the row spacing of the crop, not to exceed 80 inches.</w:t>
            </w:r>
          </w:p>
        </w:tc>
        <w:tc>
          <w:tcPr>
            <w:tcW w:w="0" w:type="auto"/>
            <w:tcBorders>
              <w:top w:val="nil"/>
              <w:left w:val="nil"/>
              <w:bottom w:val="single" w:sz="4" w:space="0" w:color="auto"/>
              <w:right w:val="single" w:sz="4" w:space="0" w:color="auto"/>
            </w:tcBorders>
            <w:shd w:val="clear" w:color="000000" w:fill="F2F2F2"/>
            <w:noWrap/>
            <w:hideMark/>
          </w:tcPr>
          <w:p w:rsidR="00D35D74" w:rsidRPr="00D35D74" w:rsidRDefault="00D35D74" w:rsidP="00D35D74">
            <w:pPr>
              <w:rPr>
                <w:rFonts w:eastAsia="Times New Roman" w:cs="Calibri"/>
                <w:color w:val="000000"/>
                <w:sz w:val="18"/>
                <w:szCs w:val="16"/>
              </w:rPr>
            </w:pPr>
            <w:r w:rsidRPr="00D35D74">
              <w:rPr>
                <w:rFonts w:eastAsia="Times New Roman" w:cs="Calibri"/>
                <w:color w:val="000000"/>
                <w:sz w:val="18"/>
                <w:szCs w:val="16"/>
              </w:rPr>
              <w:t>N/A</w:t>
            </w:r>
          </w:p>
        </w:tc>
        <w:tc>
          <w:tcPr>
            <w:tcW w:w="0" w:type="auto"/>
            <w:tcBorders>
              <w:top w:val="nil"/>
              <w:left w:val="nil"/>
              <w:bottom w:val="single" w:sz="4" w:space="0" w:color="auto"/>
              <w:right w:val="single" w:sz="4" w:space="0" w:color="auto"/>
            </w:tcBorders>
            <w:shd w:val="clear" w:color="000000" w:fill="F2F2F2"/>
            <w:hideMark/>
          </w:tcPr>
          <w:p w:rsidR="00D35D74" w:rsidRPr="00D35D74" w:rsidRDefault="00D35D74" w:rsidP="00CC258F">
            <w:pPr>
              <w:rPr>
                <w:rFonts w:eastAsia="Times New Roman" w:cs="Calibri"/>
                <w:color w:val="000000"/>
                <w:sz w:val="18"/>
                <w:szCs w:val="16"/>
              </w:rPr>
            </w:pPr>
            <w:r w:rsidRPr="00D35D74">
              <w:rPr>
                <w:rFonts w:eastAsia="Times New Roman" w:cs="Calibri"/>
                <w:color w:val="000000"/>
                <w:sz w:val="18"/>
                <w:szCs w:val="16"/>
              </w:rPr>
              <w:t>NRCS Code 442</w:t>
            </w:r>
            <w:r w:rsidR="00F62A23" w:rsidRPr="00D35D74">
              <w:rPr>
                <w:rFonts w:eastAsia="Times New Roman" w:cs="Calibri"/>
                <w:color w:val="000000"/>
                <w:sz w:val="18"/>
                <w:szCs w:val="16"/>
              </w:rPr>
              <w:t xml:space="preserve">; </w:t>
            </w:r>
            <w:r w:rsidRPr="00D35D74">
              <w:rPr>
                <w:rFonts w:eastAsia="Times New Roman" w:cs="Calibri"/>
                <w:color w:val="000000"/>
                <w:sz w:val="18"/>
                <w:szCs w:val="16"/>
              </w:rPr>
              <w:br/>
              <w:t xml:space="preserve">• Design, installation, operation and maintenance must follow specifications of NRCS Practice Code 442. </w:t>
            </w:r>
            <w:r w:rsidRPr="00D35D74">
              <w:rPr>
                <w:rFonts w:eastAsia="Times New Roman" w:cs="Calibri"/>
                <w:color w:val="000000"/>
                <w:sz w:val="18"/>
                <w:szCs w:val="16"/>
              </w:rPr>
              <w:br/>
              <w:t>• Monitoring must ensure that sprinkler conversion is made according to NRCS Code 442. Periodic visual inspection should be made to assure there is no runoff.</w:t>
            </w:r>
          </w:p>
        </w:tc>
      </w:tr>
      <w:tr w:rsidR="00CC258F" w:rsidRPr="00D35D74" w:rsidTr="00D35D74">
        <w:trPr>
          <w:trHeight w:val="54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D35D74" w:rsidRPr="00D35D74" w:rsidRDefault="00D35D74" w:rsidP="00D35D74">
            <w:pPr>
              <w:jc w:val="center"/>
              <w:rPr>
                <w:rFonts w:eastAsia="Times New Roman" w:cs="Calibri"/>
                <w:color w:val="000000"/>
              </w:rPr>
            </w:pPr>
            <w:r w:rsidRPr="00D35D74">
              <w:rPr>
                <w:rFonts w:eastAsia="Times New Roman" w:cs="Calibri"/>
                <w:color w:val="000000"/>
              </w:rPr>
              <w:t>Cultural Practice</w:t>
            </w:r>
          </w:p>
        </w:tc>
        <w:tc>
          <w:tcPr>
            <w:tcW w:w="0" w:type="auto"/>
            <w:tcBorders>
              <w:top w:val="nil"/>
              <w:left w:val="nil"/>
              <w:bottom w:val="single" w:sz="4" w:space="0" w:color="auto"/>
              <w:right w:val="single" w:sz="4" w:space="0" w:color="auto"/>
            </w:tcBorders>
            <w:shd w:val="clear" w:color="000000" w:fill="F2F2F2"/>
            <w:hideMark/>
          </w:tcPr>
          <w:p w:rsidR="00D35D74" w:rsidRPr="00D35D74" w:rsidRDefault="00D35D74" w:rsidP="00D35D74">
            <w:pPr>
              <w:rPr>
                <w:rFonts w:eastAsia="Times New Roman" w:cs="Calibri"/>
                <w:color w:val="000000"/>
              </w:rPr>
            </w:pPr>
            <w:r w:rsidRPr="00D35D74">
              <w:rPr>
                <w:rFonts w:eastAsia="Times New Roman" w:cs="Calibri"/>
                <w:color w:val="000000"/>
              </w:rPr>
              <w:t>Crop Rotation, residue and tillage management</w:t>
            </w:r>
          </w:p>
        </w:tc>
        <w:tc>
          <w:tcPr>
            <w:tcW w:w="0" w:type="auto"/>
            <w:tcBorders>
              <w:top w:val="nil"/>
              <w:left w:val="nil"/>
              <w:bottom w:val="single" w:sz="4" w:space="0" w:color="auto"/>
              <w:right w:val="single" w:sz="4" w:space="0" w:color="auto"/>
            </w:tcBorders>
            <w:shd w:val="clear" w:color="000000" w:fill="F2F2F2"/>
            <w:hideMark/>
          </w:tcPr>
          <w:p w:rsidR="00CC258F" w:rsidRDefault="00D35D74" w:rsidP="00D35D74">
            <w:pPr>
              <w:rPr>
                <w:rFonts w:eastAsia="Times New Roman" w:cs="Calibri"/>
                <w:color w:val="000000"/>
                <w:sz w:val="18"/>
                <w:szCs w:val="16"/>
              </w:rPr>
            </w:pPr>
            <w:r w:rsidRPr="00D35D74">
              <w:rPr>
                <w:rFonts w:eastAsia="Times New Roman" w:cs="Calibri"/>
                <w:b/>
                <w:bCs/>
                <w:color w:val="000000"/>
                <w:sz w:val="18"/>
                <w:szCs w:val="16"/>
              </w:rPr>
              <w:t xml:space="preserve">Sample Criteria (Practice Code 328): </w:t>
            </w:r>
            <w:r w:rsidRPr="00D35D74">
              <w:rPr>
                <w:rFonts w:eastAsia="Times New Roman" w:cs="Calibri"/>
                <w:color w:val="000000"/>
                <w:sz w:val="18"/>
                <w:szCs w:val="16"/>
              </w:rPr>
              <w:br w:type="page"/>
            </w:r>
            <w:r w:rsidRPr="00D35D74">
              <w:rPr>
                <w:rFonts w:eastAsia="Times New Roman" w:cs="Calibri"/>
                <w:color w:val="000000"/>
                <w:sz w:val="18"/>
                <w:szCs w:val="16"/>
              </w:rPr>
              <w:br w:type="page"/>
              <w:t>• The selected crops and the cropping sequence shall produce sufficient and timely quantities of biomass or crop residue, in conjunction with other practices in the management system, to reduce sheet and rill and/or wind erosion to the planned soil loss objective.</w:t>
            </w:r>
            <w:r w:rsidRPr="00D35D74">
              <w:rPr>
                <w:rFonts w:eastAsia="Times New Roman" w:cs="Calibri"/>
                <w:color w:val="000000"/>
                <w:sz w:val="18"/>
                <w:szCs w:val="16"/>
              </w:rPr>
              <w:br w:type="page"/>
            </w:r>
            <w:r w:rsidRPr="00D35D74">
              <w:rPr>
                <w:rFonts w:eastAsia="Times New Roman" w:cs="Calibri"/>
                <w:color w:val="000000"/>
                <w:sz w:val="18"/>
                <w:szCs w:val="16"/>
              </w:rPr>
              <w:br w:type="page"/>
              <w:t>• To reduce excess nutrients in the soil profile, use crops with quick germination and root system formation, a rooting depth sufficient to reach the nutrients not removed by the previous crop, and nutrient requirements that readily utilize the excess nutrients.</w:t>
            </w:r>
            <w:r w:rsidRPr="00D35D74">
              <w:rPr>
                <w:rFonts w:eastAsia="Times New Roman" w:cs="Calibri"/>
                <w:color w:val="000000"/>
                <w:sz w:val="18"/>
                <w:szCs w:val="16"/>
              </w:rPr>
              <w:br w:type="page"/>
            </w:r>
            <w:r w:rsidRPr="00D35D74">
              <w:rPr>
                <w:rFonts w:eastAsia="Times New Roman" w:cs="Calibri"/>
                <w:color w:val="000000"/>
                <w:sz w:val="18"/>
                <w:szCs w:val="16"/>
              </w:rPr>
              <w:br w:type="page"/>
            </w:r>
            <w:r w:rsidRPr="00D35D74">
              <w:rPr>
                <w:rFonts w:eastAsia="Times New Roman" w:cs="Calibri"/>
                <w:b/>
                <w:bCs/>
                <w:color w:val="000000"/>
                <w:sz w:val="18"/>
                <w:szCs w:val="16"/>
              </w:rPr>
              <w:t>Sample Criteria (Practice Code 329):</w:t>
            </w:r>
            <w:r w:rsidRPr="00D35D74">
              <w:rPr>
                <w:rFonts w:eastAsia="Times New Roman" w:cs="Calibri"/>
                <w:color w:val="000000"/>
                <w:sz w:val="18"/>
                <w:szCs w:val="16"/>
              </w:rPr>
              <w:br w:type="page"/>
            </w:r>
            <w:r w:rsidRPr="00D35D74">
              <w:rPr>
                <w:rFonts w:eastAsia="Times New Roman" w:cs="Calibri"/>
                <w:color w:val="000000"/>
                <w:sz w:val="18"/>
                <w:szCs w:val="16"/>
              </w:rPr>
              <w:br w:type="page"/>
            </w:r>
          </w:p>
          <w:p w:rsidR="00CC258F" w:rsidRDefault="00D35D74" w:rsidP="00D35D74">
            <w:pPr>
              <w:rPr>
                <w:rFonts w:eastAsia="Times New Roman" w:cs="Calibri"/>
                <w:color w:val="000000"/>
                <w:sz w:val="18"/>
                <w:szCs w:val="16"/>
              </w:rPr>
            </w:pPr>
            <w:r w:rsidRPr="00D35D74">
              <w:rPr>
                <w:rFonts w:eastAsia="Times New Roman" w:cs="Calibri"/>
                <w:color w:val="000000"/>
                <w:sz w:val="18"/>
                <w:szCs w:val="16"/>
              </w:rPr>
              <w:t xml:space="preserve">• All residues shall be uniformly distributed over the entire field. </w:t>
            </w:r>
            <w:r w:rsidRPr="00D35D74">
              <w:rPr>
                <w:rFonts w:eastAsia="Times New Roman" w:cs="Calibri"/>
                <w:color w:val="000000"/>
                <w:sz w:val="18"/>
                <w:szCs w:val="16"/>
              </w:rPr>
              <w:br w:type="page"/>
            </w:r>
            <w:r w:rsidRPr="00D35D74">
              <w:rPr>
                <w:rFonts w:eastAsia="Times New Roman" w:cs="Calibri"/>
                <w:color w:val="000000"/>
                <w:sz w:val="18"/>
                <w:szCs w:val="16"/>
              </w:rPr>
              <w:br w:type="page"/>
            </w:r>
          </w:p>
          <w:p w:rsidR="00D35D74" w:rsidRPr="00D35D74" w:rsidRDefault="00D35D74" w:rsidP="00D35D74">
            <w:pPr>
              <w:rPr>
                <w:rFonts w:eastAsia="Times New Roman" w:cs="Calibri"/>
                <w:color w:val="000000"/>
                <w:sz w:val="18"/>
                <w:szCs w:val="16"/>
              </w:rPr>
            </w:pPr>
            <w:r w:rsidRPr="00D35D74">
              <w:rPr>
                <w:rFonts w:eastAsia="Times New Roman" w:cs="Calibri"/>
                <w:color w:val="000000"/>
                <w:sz w:val="18"/>
                <w:szCs w:val="16"/>
              </w:rPr>
              <w:t>• No full-width tillage shall be performed regardless of the depth of the tillage operation.</w:t>
            </w:r>
            <w:r w:rsidRPr="00D35D74">
              <w:rPr>
                <w:rFonts w:eastAsia="Times New Roman" w:cs="Calibri"/>
                <w:color w:val="000000"/>
                <w:sz w:val="18"/>
                <w:szCs w:val="16"/>
              </w:rPr>
              <w:br w:type="page"/>
            </w:r>
          </w:p>
        </w:tc>
        <w:tc>
          <w:tcPr>
            <w:tcW w:w="0" w:type="auto"/>
            <w:tcBorders>
              <w:top w:val="nil"/>
              <w:left w:val="nil"/>
              <w:bottom w:val="single" w:sz="4" w:space="0" w:color="auto"/>
              <w:right w:val="single" w:sz="4" w:space="0" w:color="auto"/>
            </w:tcBorders>
            <w:shd w:val="clear" w:color="000000" w:fill="F2F2F2"/>
            <w:noWrap/>
            <w:hideMark/>
          </w:tcPr>
          <w:p w:rsidR="00D35D74" w:rsidRPr="00D35D74" w:rsidRDefault="00D35D74" w:rsidP="00D35D74">
            <w:pPr>
              <w:rPr>
                <w:rFonts w:eastAsia="Times New Roman" w:cs="Calibri"/>
                <w:color w:val="000000"/>
                <w:sz w:val="18"/>
                <w:szCs w:val="16"/>
              </w:rPr>
            </w:pPr>
            <w:r w:rsidRPr="00D35D74">
              <w:rPr>
                <w:rFonts w:eastAsia="Times New Roman" w:cs="Calibri"/>
                <w:color w:val="000000"/>
                <w:sz w:val="18"/>
                <w:szCs w:val="16"/>
              </w:rPr>
              <w:t>NRCS Code 328 and 329</w:t>
            </w:r>
          </w:p>
        </w:tc>
        <w:tc>
          <w:tcPr>
            <w:tcW w:w="0" w:type="auto"/>
            <w:tcBorders>
              <w:top w:val="nil"/>
              <w:left w:val="nil"/>
              <w:bottom w:val="single" w:sz="4" w:space="0" w:color="auto"/>
              <w:right w:val="single" w:sz="4" w:space="0" w:color="auto"/>
            </w:tcBorders>
            <w:shd w:val="clear" w:color="000000" w:fill="F2F2F2"/>
            <w:hideMark/>
          </w:tcPr>
          <w:p w:rsidR="00CC258F" w:rsidRDefault="00D35D74" w:rsidP="00D35D74">
            <w:pPr>
              <w:rPr>
                <w:rFonts w:eastAsia="Times New Roman" w:cs="Calibri"/>
                <w:color w:val="000000"/>
                <w:sz w:val="18"/>
                <w:szCs w:val="16"/>
              </w:rPr>
            </w:pPr>
            <w:r w:rsidRPr="00D35D74">
              <w:rPr>
                <w:rFonts w:eastAsia="Times New Roman" w:cs="Calibri"/>
                <w:color w:val="000000"/>
                <w:sz w:val="18"/>
                <w:szCs w:val="16"/>
              </w:rPr>
              <w:t>NRCS code 328 and 329 and;</w:t>
            </w:r>
            <w:r w:rsidRPr="00D35D74">
              <w:rPr>
                <w:rFonts w:eastAsia="Times New Roman" w:cs="Calibri"/>
                <w:color w:val="000000"/>
                <w:sz w:val="18"/>
                <w:szCs w:val="16"/>
              </w:rPr>
              <w:br w:type="page"/>
            </w:r>
            <w:r w:rsidRPr="00D35D74">
              <w:rPr>
                <w:rFonts w:eastAsia="Times New Roman" w:cs="Calibri"/>
                <w:color w:val="000000"/>
                <w:sz w:val="18"/>
                <w:szCs w:val="16"/>
              </w:rPr>
              <w:br w:type="page"/>
            </w:r>
          </w:p>
          <w:p w:rsidR="00CC258F" w:rsidRDefault="00D35D74" w:rsidP="00D35D74">
            <w:pPr>
              <w:rPr>
                <w:rFonts w:eastAsia="Times New Roman" w:cs="Calibri"/>
                <w:color w:val="000000"/>
                <w:sz w:val="18"/>
                <w:szCs w:val="16"/>
              </w:rPr>
            </w:pPr>
            <w:r w:rsidRPr="00D35D74">
              <w:rPr>
                <w:rFonts w:eastAsia="Times New Roman" w:cs="Calibri"/>
                <w:color w:val="000000"/>
                <w:sz w:val="18"/>
                <w:szCs w:val="16"/>
              </w:rPr>
              <w:t xml:space="preserve">• Sprinkler irrigated and </w:t>
            </w:r>
            <w:r w:rsidR="00F62A23" w:rsidRPr="00D35D74">
              <w:rPr>
                <w:rFonts w:eastAsia="Times New Roman" w:cs="Calibri"/>
                <w:color w:val="000000"/>
                <w:sz w:val="18"/>
                <w:szCs w:val="16"/>
              </w:rPr>
              <w:t>micro irrigation</w:t>
            </w:r>
            <w:r w:rsidRPr="00D35D74">
              <w:rPr>
                <w:rFonts w:eastAsia="Times New Roman" w:cs="Calibri"/>
                <w:color w:val="000000"/>
                <w:sz w:val="18"/>
                <w:szCs w:val="16"/>
              </w:rPr>
              <w:t xml:space="preserve"> systems are not eligible.  Applicable on any field producing low residue crops.</w:t>
            </w:r>
            <w:r w:rsidRPr="00D35D74">
              <w:rPr>
                <w:rFonts w:eastAsia="Times New Roman" w:cs="Calibri"/>
                <w:color w:val="000000"/>
                <w:sz w:val="18"/>
                <w:szCs w:val="16"/>
              </w:rPr>
              <w:br w:type="page"/>
            </w:r>
            <w:r w:rsidRPr="00D35D74">
              <w:rPr>
                <w:rFonts w:eastAsia="Times New Roman" w:cs="Calibri"/>
                <w:color w:val="000000"/>
                <w:sz w:val="18"/>
                <w:szCs w:val="16"/>
              </w:rPr>
              <w:br w:type="page"/>
            </w:r>
          </w:p>
          <w:p w:rsidR="00CC258F" w:rsidRDefault="00D35D74" w:rsidP="00D35D74">
            <w:pPr>
              <w:rPr>
                <w:rFonts w:eastAsia="Times New Roman" w:cs="Calibri"/>
                <w:color w:val="000000"/>
                <w:sz w:val="18"/>
                <w:szCs w:val="16"/>
              </w:rPr>
            </w:pPr>
            <w:r w:rsidRPr="00D35D74">
              <w:rPr>
                <w:rFonts w:eastAsia="Times New Roman" w:cs="Calibri"/>
                <w:color w:val="000000"/>
                <w:sz w:val="18"/>
                <w:szCs w:val="16"/>
              </w:rPr>
              <w:t>• High residue crops must be part of traditional low residue crop rotation.</w:t>
            </w:r>
            <w:r w:rsidRPr="00D35D74">
              <w:rPr>
                <w:rFonts w:eastAsia="Times New Roman" w:cs="Calibri"/>
                <w:color w:val="000000"/>
                <w:sz w:val="18"/>
                <w:szCs w:val="16"/>
              </w:rPr>
              <w:br w:type="page"/>
            </w:r>
            <w:r w:rsidRPr="00D35D74">
              <w:rPr>
                <w:rFonts w:eastAsia="Times New Roman" w:cs="Calibri"/>
                <w:color w:val="000000"/>
                <w:sz w:val="18"/>
                <w:szCs w:val="16"/>
              </w:rPr>
              <w:br w:type="page"/>
            </w:r>
          </w:p>
          <w:p w:rsidR="00CC258F" w:rsidRDefault="00D35D74" w:rsidP="00D35D74">
            <w:pPr>
              <w:rPr>
                <w:rFonts w:eastAsia="Times New Roman" w:cs="Calibri"/>
                <w:color w:val="000000"/>
                <w:sz w:val="18"/>
                <w:szCs w:val="16"/>
              </w:rPr>
            </w:pPr>
            <w:r w:rsidRPr="00D35D74">
              <w:rPr>
                <w:rFonts w:eastAsia="Times New Roman" w:cs="Calibri"/>
                <w:color w:val="000000"/>
                <w:sz w:val="18"/>
                <w:szCs w:val="16"/>
              </w:rPr>
              <w:t>• High residue crops must be followed by directly seeded crops, using cleaned irrigation furrows to irrigate direct-seeded crop.</w:t>
            </w:r>
            <w:r w:rsidRPr="00D35D74">
              <w:rPr>
                <w:rFonts w:eastAsia="Times New Roman" w:cs="Calibri"/>
                <w:color w:val="000000"/>
                <w:sz w:val="18"/>
                <w:szCs w:val="16"/>
              </w:rPr>
              <w:br w:type="page"/>
            </w:r>
            <w:r w:rsidRPr="00D35D74">
              <w:rPr>
                <w:rFonts w:eastAsia="Times New Roman" w:cs="Calibri"/>
                <w:color w:val="000000"/>
                <w:sz w:val="18"/>
                <w:szCs w:val="16"/>
              </w:rPr>
              <w:br w:type="page"/>
            </w:r>
          </w:p>
          <w:p w:rsidR="00D35D74" w:rsidRPr="00D35D74" w:rsidRDefault="00D35D74" w:rsidP="00D35D74">
            <w:pPr>
              <w:rPr>
                <w:rFonts w:eastAsia="Times New Roman" w:cs="Calibri"/>
                <w:color w:val="000000"/>
                <w:sz w:val="18"/>
                <w:szCs w:val="16"/>
              </w:rPr>
            </w:pPr>
            <w:r w:rsidRPr="00D35D74">
              <w:rPr>
                <w:rFonts w:eastAsia="Times New Roman" w:cs="Calibri"/>
                <w:color w:val="000000"/>
                <w:sz w:val="18"/>
                <w:szCs w:val="16"/>
              </w:rPr>
              <w:t xml:space="preserve">• Minimum tilling and direct seeding of nitrogen-fixing crops such as </w:t>
            </w:r>
            <w:r w:rsidR="00F62A23" w:rsidRPr="00D35D74">
              <w:rPr>
                <w:rFonts w:eastAsia="Times New Roman" w:cs="Calibri"/>
                <w:color w:val="000000"/>
                <w:sz w:val="18"/>
                <w:szCs w:val="16"/>
              </w:rPr>
              <w:t>al</w:t>
            </w:r>
            <w:r w:rsidR="00F62A23">
              <w:rPr>
                <w:rFonts w:eastAsia="Times New Roman" w:cs="Calibri"/>
                <w:color w:val="000000"/>
                <w:sz w:val="18"/>
                <w:szCs w:val="16"/>
              </w:rPr>
              <w:t>f</w:t>
            </w:r>
            <w:r w:rsidR="00F62A23" w:rsidRPr="00D35D74">
              <w:rPr>
                <w:rFonts w:eastAsia="Times New Roman" w:cs="Calibri"/>
                <w:color w:val="000000"/>
                <w:sz w:val="18"/>
                <w:szCs w:val="16"/>
              </w:rPr>
              <w:t>al</w:t>
            </w:r>
            <w:r w:rsidR="00F62A23">
              <w:rPr>
                <w:rFonts w:eastAsia="Times New Roman" w:cs="Calibri"/>
                <w:color w:val="000000"/>
                <w:sz w:val="18"/>
                <w:szCs w:val="16"/>
              </w:rPr>
              <w:t>f</w:t>
            </w:r>
            <w:r w:rsidR="00F62A23" w:rsidRPr="00D35D74">
              <w:rPr>
                <w:rFonts w:eastAsia="Times New Roman" w:cs="Calibri"/>
                <w:color w:val="000000"/>
                <w:sz w:val="18"/>
                <w:szCs w:val="16"/>
              </w:rPr>
              <w:t>a</w:t>
            </w:r>
            <w:r w:rsidRPr="00D35D74">
              <w:rPr>
                <w:rFonts w:eastAsia="Times New Roman" w:cs="Calibri"/>
                <w:color w:val="000000"/>
                <w:sz w:val="18"/>
                <w:szCs w:val="16"/>
              </w:rPr>
              <w:t>, peas-</w:t>
            </w:r>
            <w:r w:rsidR="00F62A23" w:rsidRPr="00D35D74">
              <w:rPr>
                <w:rFonts w:eastAsia="Times New Roman" w:cs="Calibri"/>
                <w:color w:val="000000"/>
                <w:sz w:val="18"/>
                <w:szCs w:val="16"/>
              </w:rPr>
              <w:t>alfalfa</w:t>
            </w:r>
            <w:r w:rsidRPr="00D35D74">
              <w:rPr>
                <w:rFonts w:eastAsia="Times New Roman" w:cs="Calibri"/>
                <w:color w:val="000000"/>
                <w:sz w:val="18"/>
                <w:szCs w:val="16"/>
              </w:rPr>
              <w:t>, or mint, followed by a high nitrogen-utilizing crop.</w:t>
            </w:r>
            <w:r w:rsidRPr="00D35D74">
              <w:rPr>
                <w:rFonts w:eastAsia="Times New Roman" w:cs="Calibri"/>
                <w:color w:val="000000"/>
                <w:sz w:val="18"/>
                <w:szCs w:val="16"/>
              </w:rPr>
              <w:br w:type="page"/>
            </w:r>
          </w:p>
        </w:tc>
      </w:tr>
    </w:tbl>
    <w:p w:rsidR="003E33D3" w:rsidRDefault="003E33D3" w:rsidP="008C2F65">
      <w:pPr>
        <w:pStyle w:val="Heading2"/>
        <w:rPr>
          <w:b/>
        </w:rPr>
      </w:pPr>
    </w:p>
    <w:p w:rsidR="003E33D3" w:rsidRDefault="003E33D3">
      <w:pPr>
        <w:spacing w:after="200" w:line="276" w:lineRule="auto"/>
        <w:rPr>
          <w:rFonts w:ascii="Palatino Linotype" w:hAnsi="Palatino Linotype" w:cs="Arial"/>
          <w:b/>
          <w:bCs/>
          <w:color w:val="000000"/>
          <w:sz w:val="28"/>
          <w:szCs w:val="23"/>
        </w:rPr>
      </w:pPr>
      <w:r>
        <w:rPr>
          <w:b/>
        </w:rPr>
        <w:br w:type="page"/>
      </w:r>
    </w:p>
    <w:p w:rsidR="004051D5" w:rsidRPr="003E33D3" w:rsidRDefault="00965566" w:rsidP="008C2F65">
      <w:pPr>
        <w:pStyle w:val="Heading2"/>
        <w:rPr>
          <w:b/>
        </w:rPr>
      </w:pPr>
      <w:bookmarkStart w:id="4" w:name="_Toc352136331"/>
      <w:r w:rsidRPr="003E33D3">
        <w:rPr>
          <w:b/>
        </w:rPr>
        <w:lastRenderedPageBreak/>
        <w:t xml:space="preserve">4.4 Project </w:t>
      </w:r>
      <w:r w:rsidR="00C60074">
        <w:rPr>
          <w:b/>
        </w:rPr>
        <w:t>m</w:t>
      </w:r>
      <w:r w:rsidRPr="003E33D3">
        <w:rPr>
          <w:b/>
        </w:rPr>
        <w:t xml:space="preserve">anagement </w:t>
      </w:r>
      <w:r w:rsidR="0064431B">
        <w:rPr>
          <w:b/>
        </w:rPr>
        <w:t>p</w:t>
      </w:r>
      <w:r w:rsidR="0064431B" w:rsidRPr="003E33D3">
        <w:rPr>
          <w:b/>
        </w:rPr>
        <w:t>lans;</w:t>
      </w:r>
      <w:r w:rsidRPr="003E33D3">
        <w:rPr>
          <w:b/>
        </w:rPr>
        <w:t xml:space="preserve"> </w:t>
      </w:r>
      <w:r w:rsidR="00FE3AC9" w:rsidRPr="003E33D3">
        <w:rPr>
          <w:b/>
        </w:rPr>
        <w:t xml:space="preserve">4.5 </w:t>
      </w:r>
      <w:r w:rsidR="004051D5" w:rsidRPr="003E33D3">
        <w:rPr>
          <w:b/>
        </w:rPr>
        <w:t>Project stewardship requirements</w:t>
      </w:r>
      <w:bookmarkEnd w:id="4"/>
    </w:p>
    <w:p w:rsidR="004051D5" w:rsidRDefault="004051D5" w:rsidP="004051D5">
      <w:pPr>
        <w:pStyle w:val="Default"/>
        <w:spacing w:before="120" w:after="120"/>
        <w:rPr>
          <w:rFonts w:asciiTheme="minorHAnsi" w:hAnsiTheme="minorHAnsi" w:cs="Arial"/>
          <w:bCs/>
        </w:rPr>
      </w:pPr>
      <w:r>
        <w:rPr>
          <w:rFonts w:asciiTheme="minorHAnsi" w:hAnsiTheme="minorHAnsi" w:cs="Arial"/>
          <w:bCs/>
        </w:rPr>
        <w:t xml:space="preserve">For most structural BMPs, there need to be some requirements for </w:t>
      </w:r>
      <w:r w:rsidR="00965566">
        <w:rPr>
          <w:rFonts w:asciiTheme="minorHAnsi" w:hAnsiTheme="minorHAnsi" w:cs="Arial"/>
          <w:bCs/>
        </w:rPr>
        <w:t xml:space="preserve">the management and </w:t>
      </w:r>
      <w:r>
        <w:rPr>
          <w:rFonts w:asciiTheme="minorHAnsi" w:hAnsiTheme="minorHAnsi" w:cs="Arial"/>
          <w:bCs/>
        </w:rPr>
        <w:t>stewardship</w:t>
      </w:r>
      <w:r w:rsidR="00965566">
        <w:rPr>
          <w:rFonts w:asciiTheme="minorHAnsi" w:hAnsiTheme="minorHAnsi" w:cs="Arial"/>
          <w:bCs/>
        </w:rPr>
        <w:t xml:space="preserve"> of the practice</w:t>
      </w:r>
      <w:r>
        <w:rPr>
          <w:rFonts w:asciiTheme="minorHAnsi" w:hAnsiTheme="minorHAnsi" w:cs="Arial"/>
          <w:bCs/>
        </w:rPr>
        <w:t xml:space="preserve">. This includes </w:t>
      </w:r>
      <w:r w:rsidR="0091378D">
        <w:rPr>
          <w:rFonts w:asciiTheme="minorHAnsi" w:hAnsiTheme="minorHAnsi" w:cs="Arial"/>
          <w:bCs/>
        </w:rPr>
        <w:t xml:space="preserve">keeping the practice in place and up to quality standards, </w:t>
      </w:r>
      <w:r>
        <w:rPr>
          <w:rFonts w:asciiTheme="minorHAnsi" w:hAnsiTheme="minorHAnsi" w:cs="Arial"/>
          <w:bCs/>
        </w:rPr>
        <w:t>maintaining fences, controlling weeds in riparian buffers, and other actions for the life of a credit. Stewardship has two components—protecting the underlying land use and ensuring that stewardship actions occur. Th</w:t>
      </w:r>
      <w:r w:rsidR="00C60074">
        <w:rPr>
          <w:rFonts w:asciiTheme="minorHAnsi" w:hAnsiTheme="minorHAnsi" w:cs="Arial"/>
          <w:bCs/>
        </w:rPr>
        <w:t>ese are accomplished via</w:t>
      </w:r>
      <w:r>
        <w:rPr>
          <w:rFonts w:asciiTheme="minorHAnsi" w:hAnsiTheme="minorHAnsi" w:cs="Arial"/>
          <w:bCs/>
        </w:rPr>
        <w:t xml:space="preserve"> land protections such as easements or leases and financial assurances such as performance bonds, restricted accounts, or insurance. </w:t>
      </w:r>
    </w:p>
    <w:p w:rsidR="004051D5" w:rsidRDefault="004051D5" w:rsidP="004051D5">
      <w:pPr>
        <w:pStyle w:val="Default"/>
        <w:spacing w:before="12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examples</w:t>
      </w:r>
    </w:p>
    <w:tbl>
      <w:tblPr>
        <w:tblStyle w:val="TableGrid"/>
        <w:tblW w:w="0" w:type="auto"/>
        <w:tblLook w:val="04A0"/>
      </w:tblPr>
      <w:tblGrid>
        <w:gridCol w:w="5076"/>
        <w:gridCol w:w="5076"/>
      </w:tblGrid>
      <w:tr w:rsidR="0091378D" w:rsidTr="0091378D">
        <w:trPr>
          <w:trHeight w:val="2955"/>
        </w:trPr>
        <w:tc>
          <w:tcPr>
            <w:tcW w:w="5076" w:type="dxa"/>
            <w:vMerge w:val="restart"/>
          </w:tcPr>
          <w:p w:rsidR="0091378D" w:rsidRPr="00E441D9" w:rsidRDefault="0091378D" w:rsidP="0091378D">
            <w:pPr>
              <w:rPr>
                <w:b/>
              </w:rPr>
            </w:pPr>
            <w:r w:rsidRPr="00E441D9">
              <w:rPr>
                <w:b/>
              </w:rPr>
              <w:t>Option A</w:t>
            </w:r>
          </w:p>
          <w:p w:rsidR="0091378D" w:rsidRPr="003F73DD" w:rsidRDefault="0091378D" w:rsidP="0091378D">
            <w:pPr>
              <w:pStyle w:val="Default"/>
              <w:tabs>
                <w:tab w:val="left" w:pos="810"/>
              </w:tabs>
              <w:rPr>
                <w:rFonts w:asciiTheme="minorHAnsi" w:hAnsiTheme="minorHAnsi"/>
                <w:sz w:val="22"/>
                <w:szCs w:val="22"/>
              </w:rPr>
            </w:pPr>
            <w:r w:rsidRPr="003F73DD">
              <w:rPr>
                <w:rFonts w:asciiTheme="minorHAnsi" w:hAnsiTheme="minorHAnsi"/>
                <w:sz w:val="22"/>
                <w:szCs w:val="22"/>
              </w:rPr>
              <w:t xml:space="preserve">Projects must contain adequate project stewardship protections that will remain in place for the duration of the credit usage period. These protections must be legally enforceable under relevant state laws, and run with the land (e.g. leases, conservation easements). Supplemental stewardship protections include performance bonds, restricted accounts, or insurance. Ideally, these stewardship protections will also protect against proximate disturbing land use activities. </w:t>
            </w:r>
          </w:p>
          <w:p w:rsidR="0091378D" w:rsidRDefault="0091378D" w:rsidP="0091378D">
            <w:pPr>
              <w:rPr>
                <w:rFonts w:asciiTheme="minorHAnsi" w:hAnsiTheme="minorHAnsi"/>
                <w:i/>
              </w:rPr>
            </w:pPr>
          </w:p>
          <w:p w:rsidR="0091378D" w:rsidRDefault="0091378D" w:rsidP="0091378D">
            <w:pPr>
              <w:rPr>
                <w:rFonts w:asciiTheme="minorHAnsi" w:hAnsiTheme="minorHAnsi"/>
                <w:b/>
              </w:rPr>
            </w:pPr>
            <w:r>
              <w:rPr>
                <w:rFonts w:asciiTheme="minorHAnsi" w:hAnsiTheme="minorHAnsi"/>
                <w:b/>
              </w:rPr>
              <w:t>Who does it this way?</w:t>
            </w:r>
          </w:p>
          <w:p w:rsidR="0091378D" w:rsidRDefault="0091378D" w:rsidP="0091378D">
            <w:pPr>
              <w:rPr>
                <w:rFonts w:asciiTheme="minorHAnsi" w:hAnsiTheme="minorHAnsi"/>
              </w:rPr>
            </w:pPr>
            <w:r>
              <w:rPr>
                <w:rFonts w:asciiTheme="minorHAnsi" w:hAnsiTheme="minorHAnsi"/>
              </w:rPr>
              <w:t xml:space="preserve">Willamette Partnership requires land protection under BMPs for the life of the credit, and a minimum length of 5 years for cultural BMPs, 20 years for structural BMPs, and permanently for permanent impacts. </w:t>
            </w:r>
          </w:p>
          <w:p w:rsidR="0091378D" w:rsidRDefault="0091378D" w:rsidP="0091378D">
            <w:pPr>
              <w:rPr>
                <w:rFonts w:asciiTheme="minorHAnsi" w:hAnsiTheme="minorHAnsi"/>
              </w:rPr>
            </w:pPr>
          </w:p>
          <w:p w:rsidR="0091378D" w:rsidRPr="0091378D" w:rsidRDefault="0091378D" w:rsidP="0091378D">
            <w:pPr>
              <w:rPr>
                <w:rFonts w:asciiTheme="minorHAnsi" w:hAnsiTheme="minorHAnsi"/>
              </w:rPr>
            </w:pPr>
            <w:r>
              <w:rPr>
                <w:rFonts w:asciiTheme="minorHAnsi" w:hAnsiTheme="minorHAnsi"/>
              </w:rPr>
              <w:t xml:space="preserve">The Partnership requires a stewardship plan prior to any credit </w:t>
            </w:r>
            <w:r w:rsidR="0064431B">
              <w:rPr>
                <w:rFonts w:asciiTheme="minorHAnsi" w:hAnsiTheme="minorHAnsi"/>
              </w:rPr>
              <w:t>release</w:t>
            </w:r>
            <w:r>
              <w:rPr>
                <w:rFonts w:asciiTheme="minorHAnsi" w:hAnsiTheme="minorHAnsi"/>
              </w:rPr>
              <w:t xml:space="preserve"> and implementation of that plan before the last 25% of credits are released.</w:t>
            </w:r>
          </w:p>
        </w:tc>
        <w:tc>
          <w:tcPr>
            <w:tcW w:w="5076" w:type="dxa"/>
          </w:tcPr>
          <w:p w:rsidR="0091378D" w:rsidRPr="00E441D9" w:rsidRDefault="0091378D" w:rsidP="0091378D">
            <w:pPr>
              <w:rPr>
                <w:b/>
              </w:rPr>
            </w:pPr>
            <w:r>
              <w:rPr>
                <w:b/>
              </w:rPr>
              <w:t>Option B</w:t>
            </w:r>
          </w:p>
          <w:p w:rsidR="0091378D" w:rsidRDefault="0091378D" w:rsidP="0091378D">
            <w:pPr>
              <w:rPr>
                <w:rFonts w:asciiTheme="minorHAnsi" w:hAnsiTheme="minorHAnsi"/>
              </w:rPr>
            </w:pPr>
            <w:r>
              <w:rPr>
                <w:rFonts w:asciiTheme="minorHAnsi" w:hAnsiTheme="minorHAnsi"/>
              </w:rPr>
              <w:t>Projects need a contract, but that contract does not need to run with the land.</w:t>
            </w:r>
          </w:p>
          <w:p w:rsidR="0091378D" w:rsidRPr="00D0453D" w:rsidRDefault="0091378D" w:rsidP="0091378D">
            <w:pPr>
              <w:rPr>
                <w:rFonts w:asciiTheme="minorHAnsi" w:hAnsiTheme="minorHAnsi"/>
              </w:rPr>
            </w:pPr>
          </w:p>
          <w:p w:rsidR="0091378D" w:rsidRDefault="0091378D" w:rsidP="0091378D">
            <w:pPr>
              <w:rPr>
                <w:rFonts w:asciiTheme="minorHAnsi" w:hAnsiTheme="minorHAnsi"/>
                <w:b/>
              </w:rPr>
            </w:pPr>
            <w:r w:rsidRPr="00E441D9">
              <w:rPr>
                <w:rFonts w:asciiTheme="minorHAnsi" w:hAnsiTheme="minorHAnsi"/>
                <w:b/>
              </w:rPr>
              <w:t>Who does it this way?</w:t>
            </w:r>
          </w:p>
          <w:p w:rsidR="0091378D" w:rsidRPr="0091378D" w:rsidRDefault="0091378D" w:rsidP="0091378D">
            <w:pPr>
              <w:rPr>
                <w:rFonts w:asciiTheme="minorHAnsi" w:hAnsiTheme="minorHAnsi"/>
              </w:rPr>
            </w:pPr>
            <w:r>
              <w:rPr>
                <w:rFonts w:asciiTheme="minorHAnsi" w:hAnsiTheme="minorHAnsi"/>
              </w:rPr>
              <w:t>Most water quality trading programs use 5 or 10-year contracts for BMPs that are not recorded with the land. There are stewardship requirements, but there are rarely requirements tied to the amount and use of those funds.</w:t>
            </w:r>
          </w:p>
        </w:tc>
      </w:tr>
      <w:tr w:rsidR="0091378D" w:rsidTr="0091378D">
        <w:trPr>
          <w:trHeight w:val="2955"/>
        </w:trPr>
        <w:tc>
          <w:tcPr>
            <w:tcW w:w="5076" w:type="dxa"/>
            <w:vMerge/>
          </w:tcPr>
          <w:p w:rsidR="0091378D" w:rsidRPr="00E441D9" w:rsidRDefault="0091378D" w:rsidP="0091378D">
            <w:pPr>
              <w:rPr>
                <w:b/>
              </w:rPr>
            </w:pPr>
          </w:p>
        </w:tc>
        <w:tc>
          <w:tcPr>
            <w:tcW w:w="5076" w:type="dxa"/>
          </w:tcPr>
          <w:p w:rsidR="0091378D" w:rsidRPr="00E441D9" w:rsidRDefault="0091378D" w:rsidP="0091378D">
            <w:pPr>
              <w:rPr>
                <w:b/>
              </w:rPr>
            </w:pPr>
            <w:r>
              <w:rPr>
                <w:b/>
              </w:rPr>
              <w:t>Option C</w:t>
            </w:r>
          </w:p>
          <w:p w:rsidR="0091378D" w:rsidRDefault="0091378D" w:rsidP="0091378D">
            <w:pPr>
              <w:rPr>
                <w:rFonts w:asciiTheme="minorHAnsi" w:hAnsiTheme="minorHAnsi"/>
              </w:rPr>
            </w:pPr>
            <w:r>
              <w:rPr>
                <w:rFonts w:asciiTheme="minorHAnsi" w:hAnsiTheme="minorHAnsi"/>
              </w:rPr>
              <w:t>Projects need permanent easements</w:t>
            </w:r>
          </w:p>
          <w:p w:rsidR="0091378D" w:rsidRPr="00D0453D" w:rsidRDefault="0091378D" w:rsidP="0091378D">
            <w:pPr>
              <w:rPr>
                <w:rFonts w:asciiTheme="minorHAnsi" w:hAnsiTheme="minorHAnsi"/>
              </w:rPr>
            </w:pPr>
          </w:p>
          <w:p w:rsidR="0091378D" w:rsidRDefault="0091378D" w:rsidP="0091378D">
            <w:pPr>
              <w:rPr>
                <w:rFonts w:asciiTheme="minorHAnsi" w:hAnsiTheme="minorHAnsi"/>
                <w:b/>
              </w:rPr>
            </w:pPr>
            <w:r w:rsidRPr="00E441D9">
              <w:rPr>
                <w:rFonts w:asciiTheme="minorHAnsi" w:hAnsiTheme="minorHAnsi"/>
                <w:b/>
              </w:rPr>
              <w:t>Who does it this way?</w:t>
            </w:r>
          </w:p>
          <w:p w:rsidR="0091378D" w:rsidRPr="00E441D9" w:rsidRDefault="0091378D" w:rsidP="0091378D">
            <w:pPr>
              <w:rPr>
                <w:rFonts w:asciiTheme="minorHAnsi" w:hAnsiTheme="minorHAnsi"/>
              </w:rPr>
            </w:pPr>
            <w:r>
              <w:rPr>
                <w:rFonts w:asciiTheme="minorHAnsi" w:hAnsiTheme="minorHAnsi"/>
              </w:rPr>
              <w:t>We are not aware of water quality projects that require permanent easements</w:t>
            </w:r>
          </w:p>
          <w:p w:rsidR="0091378D" w:rsidRDefault="0091378D" w:rsidP="0091378D">
            <w:pPr>
              <w:rPr>
                <w:b/>
              </w:rPr>
            </w:pPr>
          </w:p>
        </w:tc>
      </w:tr>
    </w:tbl>
    <w:p w:rsidR="004051D5" w:rsidRPr="004D4D2A" w:rsidRDefault="004051D5" w:rsidP="00C60074">
      <w:pPr>
        <w:pStyle w:val="Default"/>
        <w:spacing w:before="240"/>
        <w:rPr>
          <w:rFonts w:asciiTheme="minorHAnsi" w:hAnsiTheme="minorHAnsi"/>
          <w:b/>
        </w:rPr>
      </w:pPr>
      <w:r w:rsidRPr="004D4D2A">
        <w:rPr>
          <w:rFonts w:asciiTheme="minorHAnsi" w:hAnsiTheme="minorHAnsi"/>
          <w:b/>
        </w:rPr>
        <w:t>II</w:t>
      </w:r>
      <w:r>
        <w:rPr>
          <w:rFonts w:asciiTheme="minorHAnsi" w:hAnsiTheme="minorHAnsi"/>
          <w:b/>
        </w:rPr>
        <w:t>I</w:t>
      </w:r>
      <w:r w:rsidRPr="004D4D2A">
        <w:rPr>
          <w:rFonts w:asciiTheme="minorHAnsi" w:hAnsiTheme="minorHAnsi"/>
          <w:b/>
        </w:rPr>
        <w:t xml:space="preserve">. </w:t>
      </w:r>
      <w:r>
        <w:rPr>
          <w:rFonts w:asciiTheme="minorHAnsi" w:hAnsiTheme="minorHAnsi"/>
          <w:b/>
        </w:rPr>
        <w:t>Recommended d</w:t>
      </w:r>
      <w:r w:rsidRPr="004D4D2A">
        <w:rPr>
          <w:rFonts w:asciiTheme="minorHAnsi" w:hAnsiTheme="minorHAnsi"/>
          <w:b/>
        </w:rPr>
        <w:t>efault</w:t>
      </w:r>
    </w:p>
    <w:p w:rsidR="004051D5" w:rsidRDefault="004051D5" w:rsidP="004051D5">
      <w:pPr>
        <w:pStyle w:val="Default"/>
        <w:rPr>
          <w:rFonts w:asciiTheme="minorHAnsi" w:hAnsiTheme="minorHAnsi"/>
        </w:rPr>
      </w:pPr>
      <w:r>
        <w:rPr>
          <w:rFonts w:asciiTheme="minorHAnsi" w:hAnsiTheme="minorHAnsi"/>
        </w:rPr>
        <w:t>Option A.</w:t>
      </w:r>
    </w:p>
    <w:p w:rsidR="004051D5" w:rsidRDefault="004051D5" w:rsidP="00C60074">
      <w:pPr>
        <w:pStyle w:val="Default"/>
        <w:spacing w:before="240"/>
        <w:rPr>
          <w:rFonts w:asciiTheme="minorHAnsi" w:hAnsiTheme="minorHAnsi"/>
          <w:b/>
        </w:rPr>
      </w:pPr>
      <w:r w:rsidRPr="004D4D2A">
        <w:rPr>
          <w:rFonts w:asciiTheme="minorHAnsi" w:hAnsiTheme="minorHAnsi"/>
          <w:b/>
        </w:rPr>
        <w:t>III. Reasons to deviate from the default</w:t>
      </w:r>
    </w:p>
    <w:p w:rsidR="004051D5" w:rsidRPr="00D0453D" w:rsidRDefault="004051D5" w:rsidP="004051D5">
      <w:pPr>
        <w:pStyle w:val="Default"/>
        <w:rPr>
          <w:rFonts w:asciiTheme="minorHAnsi" w:hAnsiTheme="minorHAnsi"/>
        </w:rPr>
      </w:pPr>
      <w:r>
        <w:rPr>
          <w:rFonts w:asciiTheme="minorHAnsi" w:hAnsiTheme="minorHAnsi"/>
        </w:rPr>
        <w:t xml:space="preserve">Setting appropriate stewardship requirements rests in the balance of security, costs, and landowner willingness. Generally, landowners are not willing to enter into permanent easements. Yet, 1-5 year contracts may not provide the certainty that water quality improvements will be achieved and sustained over time. </w:t>
      </w:r>
    </w:p>
    <w:p w:rsidR="004051D5" w:rsidRPr="00D0453D" w:rsidRDefault="004051D5" w:rsidP="004051D5">
      <w:pPr>
        <w:pStyle w:val="Default"/>
        <w:rPr>
          <w:rFonts w:asciiTheme="minorHAnsi" w:hAnsiTheme="minorHAnsi"/>
          <w:i/>
        </w:rPr>
      </w:pPr>
    </w:p>
    <w:p w:rsidR="004051D5" w:rsidRPr="005C0D83" w:rsidRDefault="004051D5" w:rsidP="004051D5">
      <w:pPr>
        <w:pStyle w:val="Default"/>
        <w:rPr>
          <w:rFonts w:asciiTheme="minorHAnsi" w:hAnsiTheme="minorHAnsi"/>
          <w:color w:val="auto"/>
        </w:rPr>
      </w:pPr>
    </w:p>
    <w:p w:rsidR="004051D5" w:rsidRPr="0030344F" w:rsidRDefault="004051D5" w:rsidP="00A2460C">
      <w:pPr>
        <w:pStyle w:val="Default"/>
        <w:rPr>
          <w:rFonts w:asciiTheme="minorHAnsi" w:hAnsiTheme="minorHAnsi"/>
        </w:rPr>
      </w:pPr>
    </w:p>
    <w:sectPr w:rsidR="004051D5" w:rsidRPr="0030344F" w:rsidSect="00DD45F2">
      <w:footerReference w:type="default" r:id="rId8"/>
      <w:headerReference w:type="first" r:id="rId9"/>
      <w:footerReference w:type="first" r:id="rId10"/>
      <w:type w:val="continuous"/>
      <w:pgSz w:w="12240" w:h="15840"/>
      <w:pgMar w:top="1152" w:right="1152"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CCA" w:rsidRDefault="00884CCA" w:rsidP="00140B12">
      <w:r>
        <w:separator/>
      </w:r>
    </w:p>
    <w:p w:rsidR="00884CCA" w:rsidRDefault="00884CCA"/>
  </w:endnote>
  <w:endnote w:type="continuationSeparator" w:id="0">
    <w:p w:rsidR="00884CCA" w:rsidRDefault="00884CCA" w:rsidP="00140B12">
      <w:r>
        <w:continuationSeparator/>
      </w:r>
    </w:p>
    <w:p w:rsidR="00884CCA" w:rsidRDefault="00884CC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315450"/>
      <w:docPartObj>
        <w:docPartGallery w:val="Page Numbers (Bottom of Page)"/>
        <w:docPartUnique/>
      </w:docPartObj>
    </w:sdtPr>
    <w:sdtContent>
      <w:sdt>
        <w:sdtPr>
          <w:id w:val="689417417"/>
          <w:docPartObj>
            <w:docPartGallery w:val="Page Numbers (Top of Page)"/>
            <w:docPartUnique/>
          </w:docPartObj>
        </w:sdtPr>
        <w:sdtContent>
          <w:p w:rsidR="00D01CF7" w:rsidRDefault="00D01CF7">
            <w:pPr>
              <w:pStyle w:val="Footer"/>
              <w:jc w:val="center"/>
            </w:pPr>
            <w:r>
              <w:t xml:space="preserve">Page </w:t>
            </w:r>
            <w:r w:rsidR="000304CF">
              <w:rPr>
                <w:b/>
                <w:sz w:val="24"/>
                <w:szCs w:val="24"/>
              </w:rPr>
              <w:fldChar w:fldCharType="begin"/>
            </w:r>
            <w:r>
              <w:rPr>
                <w:b/>
              </w:rPr>
              <w:instrText xml:space="preserve"> PAGE </w:instrText>
            </w:r>
            <w:r w:rsidR="000304CF">
              <w:rPr>
                <w:b/>
                <w:sz w:val="24"/>
                <w:szCs w:val="24"/>
              </w:rPr>
              <w:fldChar w:fldCharType="separate"/>
            </w:r>
            <w:r w:rsidR="00F354CA">
              <w:rPr>
                <w:b/>
                <w:noProof/>
              </w:rPr>
              <w:t>8</w:t>
            </w:r>
            <w:r w:rsidR="000304CF">
              <w:rPr>
                <w:b/>
                <w:sz w:val="24"/>
                <w:szCs w:val="24"/>
              </w:rPr>
              <w:fldChar w:fldCharType="end"/>
            </w:r>
            <w:r>
              <w:t xml:space="preserve"> of </w:t>
            </w:r>
            <w:r w:rsidR="000304CF">
              <w:rPr>
                <w:b/>
                <w:sz w:val="24"/>
                <w:szCs w:val="24"/>
              </w:rPr>
              <w:fldChar w:fldCharType="begin"/>
            </w:r>
            <w:r>
              <w:rPr>
                <w:b/>
              </w:rPr>
              <w:instrText xml:space="preserve"> NUMPAGES  </w:instrText>
            </w:r>
            <w:r w:rsidR="000304CF">
              <w:rPr>
                <w:b/>
                <w:sz w:val="24"/>
                <w:szCs w:val="24"/>
              </w:rPr>
              <w:fldChar w:fldCharType="separate"/>
            </w:r>
            <w:r w:rsidR="00F354CA">
              <w:rPr>
                <w:b/>
                <w:noProof/>
              </w:rPr>
              <w:t>8</w:t>
            </w:r>
            <w:r w:rsidR="000304CF">
              <w:rPr>
                <w:b/>
                <w:sz w:val="24"/>
                <w:szCs w:val="24"/>
              </w:rPr>
              <w:fldChar w:fldCharType="end"/>
            </w:r>
          </w:p>
        </w:sdtContent>
      </w:sdt>
    </w:sdtContent>
  </w:sdt>
  <w:p w:rsidR="00C76CDF" w:rsidRDefault="00C76CD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44449"/>
      <w:docPartObj>
        <w:docPartGallery w:val="Page Numbers (Bottom of Page)"/>
        <w:docPartUnique/>
      </w:docPartObj>
    </w:sdtPr>
    <w:sdtContent>
      <w:sdt>
        <w:sdtPr>
          <w:id w:val="-1152904335"/>
          <w:docPartObj>
            <w:docPartGallery w:val="Page Numbers (Top of Page)"/>
            <w:docPartUnique/>
          </w:docPartObj>
        </w:sdtPr>
        <w:sdtContent>
          <w:p w:rsidR="00CC258F" w:rsidRDefault="00CC258F" w:rsidP="00CC258F">
            <w:pPr>
              <w:pStyle w:val="Footer"/>
              <w:jc w:val="center"/>
            </w:pPr>
            <w:r>
              <w:t xml:space="preserve">Page </w:t>
            </w:r>
            <w:r w:rsidR="000304CF">
              <w:rPr>
                <w:b/>
                <w:sz w:val="24"/>
                <w:szCs w:val="24"/>
              </w:rPr>
              <w:fldChar w:fldCharType="begin"/>
            </w:r>
            <w:r>
              <w:rPr>
                <w:b/>
              </w:rPr>
              <w:instrText xml:space="preserve"> PAGE </w:instrText>
            </w:r>
            <w:r w:rsidR="000304CF">
              <w:rPr>
                <w:b/>
                <w:sz w:val="24"/>
                <w:szCs w:val="24"/>
              </w:rPr>
              <w:fldChar w:fldCharType="separate"/>
            </w:r>
            <w:r w:rsidR="00F354CA">
              <w:rPr>
                <w:b/>
                <w:noProof/>
              </w:rPr>
              <w:t>1</w:t>
            </w:r>
            <w:r w:rsidR="000304CF">
              <w:rPr>
                <w:b/>
                <w:sz w:val="24"/>
                <w:szCs w:val="24"/>
              </w:rPr>
              <w:fldChar w:fldCharType="end"/>
            </w:r>
            <w:r>
              <w:t xml:space="preserve"> of </w:t>
            </w:r>
            <w:r w:rsidR="000304CF">
              <w:rPr>
                <w:b/>
                <w:sz w:val="24"/>
                <w:szCs w:val="24"/>
              </w:rPr>
              <w:fldChar w:fldCharType="begin"/>
            </w:r>
            <w:r>
              <w:rPr>
                <w:b/>
              </w:rPr>
              <w:instrText xml:space="preserve"> NUMPAGES  </w:instrText>
            </w:r>
            <w:r w:rsidR="000304CF">
              <w:rPr>
                <w:b/>
                <w:sz w:val="24"/>
                <w:szCs w:val="24"/>
              </w:rPr>
              <w:fldChar w:fldCharType="separate"/>
            </w:r>
            <w:r w:rsidR="00F354CA">
              <w:rPr>
                <w:b/>
                <w:noProof/>
              </w:rPr>
              <w:t>1</w:t>
            </w:r>
            <w:r w:rsidR="000304CF">
              <w:rPr>
                <w:b/>
                <w:sz w:val="24"/>
                <w:szCs w:val="24"/>
              </w:rPr>
              <w:fldChar w:fldCharType="end"/>
            </w:r>
          </w:p>
        </w:sdtContent>
      </w:sdt>
    </w:sdtContent>
  </w:sdt>
  <w:p w:rsidR="00C76CDF" w:rsidRDefault="00C76C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CCA" w:rsidRDefault="00884CCA" w:rsidP="00140B12">
      <w:r>
        <w:separator/>
      </w:r>
    </w:p>
    <w:p w:rsidR="00884CCA" w:rsidRDefault="00884CCA"/>
  </w:footnote>
  <w:footnote w:type="continuationSeparator" w:id="0">
    <w:p w:rsidR="00884CCA" w:rsidRDefault="00884CCA" w:rsidP="00140B12">
      <w:r>
        <w:continuationSeparator/>
      </w:r>
    </w:p>
    <w:p w:rsidR="00884CCA" w:rsidRDefault="00884CCA"/>
  </w:footnote>
  <w:footnote w:id="1">
    <w:p w:rsidR="004F1900" w:rsidRDefault="004F1900" w:rsidP="00293864">
      <w:pPr>
        <w:pStyle w:val="FootnoteText"/>
      </w:pPr>
      <w:r>
        <w:rPr>
          <w:rStyle w:val="FootnoteReference"/>
        </w:rPr>
        <w:footnoteRef/>
      </w:r>
      <w:r>
        <w:t xml:space="preserve"> </w:t>
      </w:r>
      <w:r w:rsidRPr="00C043D7">
        <w:t>http://willamettepartnership.org/tools-templates/tools-and-templates-1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F7" w:rsidRPr="005B25E8" w:rsidRDefault="00D01CF7" w:rsidP="005B25E8">
    <w:pPr>
      <w:pStyle w:val="Default"/>
      <w:spacing w:before="240"/>
      <w:rPr>
        <w:rFonts w:ascii="Palatino Linotype" w:hAnsi="Palatino Linotype" w:cs="Arial"/>
        <w:bCs/>
        <w:smallCaps/>
        <w:sz w:val="38"/>
        <w:szCs w:val="23"/>
      </w:rPr>
    </w:pPr>
    <w:r w:rsidRPr="005B25E8">
      <w:rPr>
        <w:rFonts w:ascii="Palatino Linotype" w:hAnsi="Palatino Linotype" w:cs="Arial"/>
        <w:bCs/>
        <w:smallCaps/>
        <w:sz w:val="38"/>
        <w:szCs w:val="23"/>
      </w:rPr>
      <w:t>Joint Regional A</w:t>
    </w:r>
    <w:r>
      <w:rPr>
        <w:rFonts w:ascii="Palatino Linotype" w:hAnsi="Palatino Linotype" w:cs="Arial"/>
        <w:bCs/>
        <w:smallCaps/>
        <w:sz w:val="38"/>
        <w:szCs w:val="23"/>
      </w:rPr>
      <w:t xml:space="preserve">greement </w:t>
    </w:r>
    <w:r w:rsidRPr="005B25E8">
      <w:rPr>
        <w:smallCaps/>
        <w:sz w:val="38"/>
      </w:rPr>
      <w:t>on Water Quality Trading</w:t>
    </w:r>
  </w:p>
  <w:p w:rsidR="00C76CDF" w:rsidRDefault="00C76C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D5C"/>
    <w:multiLevelType w:val="hybridMultilevel"/>
    <w:tmpl w:val="B816A8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2502E"/>
    <w:multiLevelType w:val="hybridMultilevel"/>
    <w:tmpl w:val="179C3794"/>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47C8B"/>
    <w:multiLevelType w:val="hybridMultilevel"/>
    <w:tmpl w:val="F9A4998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73BA7"/>
    <w:multiLevelType w:val="hybridMultilevel"/>
    <w:tmpl w:val="8C5E9474"/>
    <w:lvl w:ilvl="0" w:tplc="AE48A29C">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D458B"/>
    <w:multiLevelType w:val="hybridMultilevel"/>
    <w:tmpl w:val="3B54763C"/>
    <w:lvl w:ilvl="0" w:tplc="8D1CFBB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129FB"/>
    <w:multiLevelType w:val="hybridMultilevel"/>
    <w:tmpl w:val="126AC44C"/>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17BE5D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12A2B"/>
    <w:multiLevelType w:val="hybridMultilevel"/>
    <w:tmpl w:val="179C3794"/>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C2A39"/>
    <w:multiLevelType w:val="hybridMultilevel"/>
    <w:tmpl w:val="AB5ED0CE"/>
    <w:lvl w:ilvl="0" w:tplc="483A2D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D700E"/>
    <w:multiLevelType w:val="hybridMultilevel"/>
    <w:tmpl w:val="33769A10"/>
    <w:lvl w:ilvl="0" w:tplc="AE48A29C">
      <w:start w:val="1"/>
      <w:numFmt w:val="lowerLetter"/>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033306"/>
    <w:multiLevelType w:val="hybridMultilevel"/>
    <w:tmpl w:val="715EA4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722AA"/>
    <w:multiLevelType w:val="hybridMultilevel"/>
    <w:tmpl w:val="3176EE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B072BC"/>
    <w:multiLevelType w:val="hybridMultilevel"/>
    <w:tmpl w:val="3766A6FE"/>
    <w:lvl w:ilvl="0" w:tplc="0E866A98">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936B50"/>
    <w:multiLevelType w:val="hybridMultilevel"/>
    <w:tmpl w:val="126AC44C"/>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17BE5D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530C5"/>
    <w:multiLevelType w:val="hybridMultilevel"/>
    <w:tmpl w:val="126AC44C"/>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17BE5D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A638C"/>
    <w:multiLevelType w:val="hybridMultilevel"/>
    <w:tmpl w:val="70AAA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1019FE"/>
    <w:multiLevelType w:val="hybridMultilevel"/>
    <w:tmpl w:val="C8D8C450"/>
    <w:lvl w:ilvl="0" w:tplc="EE722D90">
      <w:start w:val="1"/>
      <w:numFmt w:val="lowerRoman"/>
      <w:lvlText w:val="%1."/>
      <w:lvlJc w:val="right"/>
      <w:pPr>
        <w:ind w:left="1620" w:hanging="180"/>
      </w:pPr>
      <w:rPr>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nsid w:val="348A4423"/>
    <w:multiLevelType w:val="hybridMultilevel"/>
    <w:tmpl w:val="DB26C3FA"/>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6B9184F"/>
    <w:multiLevelType w:val="hybridMultilevel"/>
    <w:tmpl w:val="6BB2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318B0"/>
    <w:multiLevelType w:val="hybridMultilevel"/>
    <w:tmpl w:val="A07EA4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47B59"/>
    <w:multiLevelType w:val="hybridMultilevel"/>
    <w:tmpl w:val="0188FC02"/>
    <w:lvl w:ilvl="0" w:tplc="04090011">
      <w:start w:val="1"/>
      <w:numFmt w:val="decimal"/>
      <w:lvlText w:val="%1)"/>
      <w:lvlJc w:val="left"/>
      <w:pPr>
        <w:ind w:left="720" w:hanging="360"/>
      </w:pPr>
    </w:lvl>
    <w:lvl w:ilvl="1" w:tplc="6B483B8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B751B"/>
    <w:multiLevelType w:val="hybridMultilevel"/>
    <w:tmpl w:val="AA309C8A"/>
    <w:lvl w:ilvl="0" w:tplc="04090001">
      <w:start w:val="1"/>
      <w:numFmt w:val="bullet"/>
      <w:lvlText w:val=""/>
      <w:lvlJc w:val="left"/>
      <w:pPr>
        <w:ind w:left="360" w:hanging="360"/>
      </w:pPr>
      <w:rPr>
        <w:rFonts w:ascii="Symbol" w:hAnsi="Symbol" w:hint="default"/>
      </w:rPr>
    </w:lvl>
    <w:lvl w:ilvl="1" w:tplc="AE48A29C">
      <w:start w:val="1"/>
      <w:numFmt w:val="lowerLetter"/>
      <w:lvlText w:val="%2."/>
      <w:lvlJc w:val="left"/>
      <w:pPr>
        <w:ind w:left="1080" w:hanging="360"/>
      </w:pPr>
      <w:rPr>
        <w:b w:val="0"/>
      </w:rPr>
    </w:lvl>
    <w:lvl w:ilvl="2" w:tplc="04090001">
      <w:start w:val="1"/>
      <w:numFmt w:val="bullet"/>
      <w:lvlText w:val=""/>
      <w:lvlJc w:val="left"/>
      <w:pPr>
        <w:ind w:left="1800" w:hanging="180"/>
      </w:pPr>
      <w:rPr>
        <w:rFonts w:ascii="Symbol" w:hAnsi="Symbol" w:hint="default"/>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F7027"/>
    <w:multiLevelType w:val="hybridMultilevel"/>
    <w:tmpl w:val="7D56DD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462F39"/>
    <w:multiLevelType w:val="hybridMultilevel"/>
    <w:tmpl w:val="715EA4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E3955"/>
    <w:multiLevelType w:val="hybridMultilevel"/>
    <w:tmpl w:val="066A6D20"/>
    <w:lvl w:ilvl="0" w:tplc="E17AC0DA">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C34D17"/>
    <w:multiLevelType w:val="hybridMultilevel"/>
    <w:tmpl w:val="0188FC02"/>
    <w:lvl w:ilvl="0" w:tplc="04090011">
      <w:start w:val="1"/>
      <w:numFmt w:val="decimal"/>
      <w:lvlText w:val="%1)"/>
      <w:lvlJc w:val="left"/>
      <w:pPr>
        <w:ind w:left="720" w:hanging="360"/>
      </w:pPr>
    </w:lvl>
    <w:lvl w:ilvl="1" w:tplc="6B483B8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47D11"/>
    <w:multiLevelType w:val="hybridMultilevel"/>
    <w:tmpl w:val="981CF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F728E"/>
    <w:multiLevelType w:val="hybridMultilevel"/>
    <w:tmpl w:val="194A7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444BFD"/>
    <w:multiLevelType w:val="hybridMultilevel"/>
    <w:tmpl w:val="CDD03124"/>
    <w:lvl w:ilvl="0" w:tplc="AE48A29C">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420914"/>
    <w:multiLevelType w:val="hybridMultilevel"/>
    <w:tmpl w:val="CA5EF506"/>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66020"/>
    <w:multiLevelType w:val="hybridMultilevel"/>
    <w:tmpl w:val="16528C36"/>
    <w:lvl w:ilvl="0" w:tplc="AF62BD18">
      <w:start w:val="1"/>
      <w:numFmt w:val="upperRoman"/>
      <w:lvlText w:val="%1."/>
      <w:lvlJc w:val="left"/>
      <w:pPr>
        <w:ind w:left="1080" w:hanging="720"/>
      </w:pPr>
      <w:rPr>
        <w:rFonts w:hint="default"/>
      </w:rPr>
    </w:lvl>
    <w:lvl w:ilvl="1" w:tplc="8EC6B87A">
      <w:start w:val="1"/>
      <w:numFmt w:val="decimal"/>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B23D24"/>
    <w:multiLevelType w:val="hybridMultilevel"/>
    <w:tmpl w:val="BC34C072"/>
    <w:lvl w:ilvl="0" w:tplc="8D1CFBB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8112C"/>
    <w:multiLevelType w:val="hybridMultilevel"/>
    <w:tmpl w:val="3176EE6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FDE5C61"/>
    <w:multiLevelType w:val="hybridMultilevel"/>
    <w:tmpl w:val="6F5A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446F1"/>
    <w:multiLevelType w:val="hybridMultilevel"/>
    <w:tmpl w:val="A50C68BC"/>
    <w:lvl w:ilvl="0" w:tplc="8D1CFBB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2"/>
  </w:num>
  <w:num w:numId="4">
    <w:abstractNumId w:val="21"/>
  </w:num>
  <w:num w:numId="5">
    <w:abstractNumId w:val="10"/>
  </w:num>
  <w:num w:numId="6">
    <w:abstractNumId w:val="31"/>
  </w:num>
  <w:num w:numId="7">
    <w:abstractNumId w:val="26"/>
  </w:num>
  <w:num w:numId="8">
    <w:abstractNumId w:val="23"/>
  </w:num>
  <w:num w:numId="9">
    <w:abstractNumId w:val="16"/>
  </w:num>
  <w:num w:numId="10">
    <w:abstractNumId w:val="20"/>
  </w:num>
  <w:num w:numId="11">
    <w:abstractNumId w:val="18"/>
  </w:num>
  <w:num w:numId="12">
    <w:abstractNumId w:val="22"/>
  </w:num>
  <w:num w:numId="13">
    <w:abstractNumId w:val="6"/>
  </w:num>
  <w:num w:numId="14">
    <w:abstractNumId w:val="12"/>
  </w:num>
  <w:num w:numId="15">
    <w:abstractNumId w:val="28"/>
  </w:num>
  <w:num w:numId="16">
    <w:abstractNumId w:val="13"/>
  </w:num>
  <w:num w:numId="17">
    <w:abstractNumId w:val="0"/>
  </w:num>
  <w:num w:numId="18">
    <w:abstractNumId w:val="24"/>
  </w:num>
  <w:num w:numId="19">
    <w:abstractNumId w:val="1"/>
  </w:num>
  <w:num w:numId="20">
    <w:abstractNumId w:val="30"/>
  </w:num>
  <w:num w:numId="21">
    <w:abstractNumId w:val="33"/>
  </w:num>
  <w:num w:numId="22">
    <w:abstractNumId w:val="11"/>
  </w:num>
  <w:num w:numId="23">
    <w:abstractNumId w:val="9"/>
  </w:num>
  <w:num w:numId="24">
    <w:abstractNumId w:val="19"/>
  </w:num>
  <w:num w:numId="25">
    <w:abstractNumId w:val="15"/>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4"/>
  </w:num>
  <w:num w:numId="31">
    <w:abstractNumId w:val="27"/>
  </w:num>
  <w:num w:numId="32">
    <w:abstractNumId w:val="3"/>
  </w:num>
  <w:num w:numId="33">
    <w:abstractNumId w:val="8"/>
  </w:num>
  <w:num w:numId="34">
    <w:abstractNumId w:val="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678D9"/>
    <w:rsid w:val="00004C3A"/>
    <w:rsid w:val="00011E60"/>
    <w:rsid w:val="00011F86"/>
    <w:rsid w:val="000160AE"/>
    <w:rsid w:val="00026488"/>
    <w:rsid w:val="000304CF"/>
    <w:rsid w:val="0003184E"/>
    <w:rsid w:val="00034DEE"/>
    <w:rsid w:val="000373B5"/>
    <w:rsid w:val="00047497"/>
    <w:rsid w:val="0005547C"/>
    <w:rsid w:val="000554B2"/>
    <w:rsid w:val="00056020"/>
    <w:rsid w:val="000619BB"/>
    <w:rsid w:val="00062F34"/>
    <w:rsid w:val="000702B9"/>
    <w:rsid w:val="00072F16"/>
    <w:rsid w:val="00077AAD"/>
    <w:rsid w:val="000814C0"/>
    <w:rsid w:val="00084BFD"/>
    <w:rsid w:val="00092F7D"/>
    <w:rsid w:val="00094957"/>
    <w:rsid w:val="00095384"/>
    <w:rsid w:val="000A2CE9"/>
    <w:rsid w:val="000A43EB"/>
    <w:rsid w:val="000A4C46"/>
    <w:rsid w:val="000A7387"/>
    <w:rsid w:val="000B2DF9"/>
    <w:rsid w:val="000B67D5"/>
    <w:rsid w:val="000B743B"/>
    <w:rsid w:val="000C33FC"/>
    <w:rsid w:val="000C54FD"/>
    <w:rsid w:val="000C6EFA"/>
    <w:rsid w:val="000D73A0"/>
    <w:rsid w:val="000E3740"/>
    <w:rsid w:val="000F3D02"/>
    <w:rsid w:val="00103D62"/>
    <w:rsid w:val="001070BC"/>
    <w:rsid w:val="00114AFF"/>
    <w:rsid w:val="00130E20"/>
    <w:rsid w:val="00135857"/>
    <w:rsid w:val="00140B12"/>
    <w:rsid w:val="001423B1"/>
    <w:rsid w:val="00144E81"/>
    <w:rsid w:val="00146BA4"/>
    <w:rsid w:val="00154859"/>
    <w:rsid w:val="001616CF"/>
    <w:rsid w:val="001749AB"/>
    <w:rsid w:val="00176C07"/>
    <w:rsid w:val="00176D12"/>
    <w:rsid w:val="001818A0"/>
    <w:rsid w:val="00195A1E"/>
    <w:rsid w:val="001A19C2"/>
    <w:rsid w:val="001A49E4"/>
    <w:rsid w:val="001A5F39"/>
    <w:rsid w:val="001A774D"/>
    <w:rsid w:val="001B133E"/>
    <w:rsid w:val="001E2C2A"/>
    <w:rsid w:val="001F1159"/>
    <w:rsid w:val="00201D3A"/>
    <w:rsid w:val="0021440A"/>
    <w:rsid w:val="002201A0"/>
    <w:rsid w:val="00232030"/>
    <w:rsid w:val="002326AE"/>
    <w:rsid w:val="00233AC6"/>
    <w:rsid w:val="00240B73"/>
    <w:rsid w:val="0026059E"/>
    <w:rsid w:val="002619F2"/>
    <w:rsid w:val="0026244F"/>
    <w:rsid w:val="002624FB"/>
    <w:rsid w:val="002678D9"/>
    <w:rsid w:val="002744F1"/>
    <w:rsid w:val="00275435"/>
    <w:rsid w:val="00282D9D"/>
    <w:rsid w:val="00287693"/>
    <w:rsid w:val="00293864"/>
    <w:rsid w:val="002939B2"/>
    <w:rsid w:val="0029498A"/>
    <w:rsid w:val="002A192B"/>
    <w:rsid w:val="002A2180"/>
    <w:rsid w:val="002C1814"/>
    <w:rsid w:val="002C46B1"/>
    <w:rsid w:val="002C560F"/>
    <w:rsid w:val="002D5A89"/>
    <w:rsid w:val="002E4DD3"/>
    <w:rsid w:val="002F647F"/>
    <w:rsid w:val="002F79D0"/>
    <w:rsid w:val="003018E3"/>
    <w:rsid w:val="0030344F"/>
    <w:rsid w:val="0030421C"/>
    <w:rsid w:val="00320307"/>
    <w:rsid w:val="0032126C"/>
    <w:rsid w:val="003229E4"/>
    <w:rsid w:val="00327669"/>
    <w:rsid w:val="00331A5E"/>
    <w:rsid w:val="00333231"/>
    <w:rsid w:val="003460ED"/>
    <w:rsid w:val="00357DAE"/>
    <w:rsid w:val="00365650"/>
    <w:rsid w:val="003802F8"/>
    <w:rsid w:val="003B1705"/>
    <w:rsid w:val="003B3E0D"/>
    <w:rsid w:val="003C71AE"/>
    <w:rsid w:val="003E33D3"/>
    <w:rsid w:val="003F1535"/>
    <w:rsid w:val="0040345E"/>
    <w:rsid w:val="004051D5"/>
    <w:rsid w:val="00415677"/>
    <w:rsid w:val="0042435D"/>
    <w:rsid w:val="004271C3"/>
    <w:rsid w:val="00434E56"/>
    <w:rsid w:val="00436BAA"/>
    <w:rsid w:val="0043757A"/>
    <w:rsid w:val="0044397C"/>
    <w:rsid w:val="00444A98"/>
    <w:rsid w:val="00444FBD"/>
    <w:rsid w:val="004454D2"/>
    <w:rsid w:val="004550A7"/>
    <w:rsid w:val="00456AB4"/>
    <w:rsid w:val="004659E3"/>
    <w:rsid w:val="004676B8"/>
    <w:rsid w:val="004751AE"/>
    <w:rsid w:val="0048004F"/>
    <w:rsid w:val="00485250"/>
    <w:rsid w:val="004947E5"/>
    <w:rsid w:val="004C004B"/>
    <w:rsid w:val="004C329F"/>
    <w:rsid w:val="004C5EAC"/>
    <w:rsid w:val="004D4D2A"/>
    <w:rsid w:val="004E4237"/>
    <w:rsid w:val="004F1900"/>
    <w:rsid w:val="004F59C4"/>
    <w:rsid w:val="005031D7"/>
    <w:rsid w:val="00515CB9"/>
    <w:rsid w:val="0052036A"/>
    <w:rsid w:val="00522C0B"/>
    <w:rsid w:val="005312BB"/>
    <w:rsid w:val="00531DA3"/>
    <w:rsid w:val="00533108"/>
    <w:rsid w:val="005337AF"/>
    <w:rsid w:val="0053648F"/>
    <w:rsid w:val="00537173"/>
    <w:rsid w:val="00545203"/>
    <w:rsid w:val="005606E2"/>
    <w:rsid w:val="005616B3"/>
    <w:rsid w:val="0056392E"/>
    <w:rsid w:val="005719B3"/>
    <w:rsid w:val="00572599"/>
    <w:rsid w:val="0057512E"/>
    <w:rsid w:val="00580204"/>
    <w:rsid w:val="00580F3E"/>
    <w:rsid w:val="00582E09"/>
    <w:rsid w:val="00583410"/>
    <w:rsid w:val="005862A8"/>
    <w:rsid w:val="005878E9"/>
    <w:rsid w:val="0059223F"/>
    <w:rsid w:val="005922CF"/>
    <w:rsid w:val="00592ED2"/>
    <w:rsid w:val="00594D2E"/>
    <w:rsid w:val="005978F7"/>
    <w:rsid w:val="005B25E8"/>
    <w:rsid w:val="005C0D83"/>
    <w:rsid w:val="005C15DE"/>
    <w:rsid w:val="005C1FCC"/>
    <w:rsid w:val="005C2F46"/>
    <w:rsid w:val="005C3FA8"/>
    <w:rsid w:val="005D2D42"/>
    <w:rsid w:val="005D3091"/>
    <w:rsid w:val="005D55C4"/>
    <w:rsid w:val="005D58F9"/>
    <w:rsid w:val="005E4597"/>
    <w:rsid w:val="005E5519"/>
    <w:rsid w:val="005F1369"/>
    <w:rsid w:val="005F693D"/>
    <w:rsid w:val="005F6D3C"/>
    <w:rsid w:val="006023AD"/>
    <w:rsid w:val="006068AE"/>
    <w:rsid w:val="006076FB"/>
    <w:rsid w:val="0061055F"/>
    <w:rsid w:val="006208B7"/>
    <w:rsid w:val="006227F9"/>
    <w:rsid w:val="00623D22"/>
    <w:rsid w:val="0062440F"/>
    <w:rsid w:val="00626A95"/>
    <w:rsid w:val="00626D7B"/>
    <w:rsid w:val="00630FC9"/>
    <w:rsid w:val="006341B4"/>
    <w:rsid w:val="00643D66"/>
    <w:rsid w:val="0064431B"/>
    <w:rsid w:val="00644782"/>
    <w:rsid w:val="00646E11"/>
    <w:rsid w:val="0065595C"/>
    <w:rsid w:val="00665EF1"/>
    <w:rsid w:val="00670938"/>
    <w:rsid w:val="00674BEE"/>
    <w:rsid w:val="0068311C"/>
    <w:rsid w:val="00684AA9"/>
    <w:rsid w:val="006908E0"/>
    <w:rsid w:val="00691BFD"/>
    <w:rsid w:val="006A6794"/>
    <w:rsid w:val="006A73AD"/>
    <w:rsid w:val="006B46DF"/>
    <w:rsid w:val="006B4A5C"/>
    <w:rsid w:val="006C6A91"/>
    <w:rsid w:val="006D41D0"/>
    <w:rsid w:val="006D4687"/>
    <w:rsid w:val="006D48FF"/>
    <w:rsid w:val="007009ED"/>
    <w:rsid w:val="00703624"/>
    <w:rsid w:val="00710C8A"/>
    <w:rsid w:val="00710EDB"/>
    <w:rsid w:val="007125DE"/>
    <w:rsid w:val="00715017"/>
    <w:rsid w:val="00715B3A"/>
    <w:rsid w:val="007211A1"/>
    <w:rsid w:val="00721425"/>
    <w:rsid w:val="00731A68"/>
    <w:rsid w:val="00735C24"/>
    <w:rsid w:val="0076762B"/>
    <w:rsid w:val="0078415D"/>
    <w:rsid w:val="007911FD"/>
    <w:rsid w:val="00793FE2"/>
    <w:rsid w:val="007940BA"/>
    <w:rsid w:val="007A1AF8"/>
    <w:rsid w:val="007A2E2A"/>
    <w:rsid w:val="007B0F5C"/>
    <w:rsid w:val="007B5882"/>
    <w:rsid w:val="007C2D0D"/>
    <w:rsid w:val="007E0D53"/>
    <w:rsid w:val="007E3786"/>
    <w:rsid w:val="007F7496"/>
    <w:rsid w:val="0080231C"/>
    <w:rsid w:val="0081507E"/>
    <w:rsid w:val="0082038B"/>
    <w:rsid w:val="00827723"/>
    <w:rsid w:val="0083023D"/>
    <w:rsid w:val="00831189"/>
    <w:rsid w:val="00832023"/>
    <w:rsid w:val="00833451"/>
    <w:rsid w:val="00842F98"/>
    <w:rsid w:val="00844F0E"/>
    <w:rsid w:val="00851E0E"/>
    <w:rsid w:val="00873B17"/>
    <w:rsid w:val="00882EF6"/>
    <w:rsid w:val="008845E9"/>
    <w:rsid w:val="00884CCA"/>
    <w:rsid w:val="00892981"/>
    <w:rsid w:val="008A3E42"/>
    <w:rsid w:val="008B4EAF"/>
    <w:rsid w:val="008C13B9"/>
    <w:rsid w:val="008C1A39"/>
    <w:rsid w:val="008C2F65"/>
    <w:rsid w:val="008C346C"/>
    <w:rsid w:val="008C7FF4"/>
    <w:rsid w:val="008D2765"/>
    <w:rsid w:val="008D3A10"/>
    <w:rsid w:val="008D3B49"/>
    <w:rsid w:val="008E11C7"/>
    <w:rsid w:val="008E2A8D"/>
    <w:rsid w:val="008E5F62"/>
    <w:rsid w:val="008F28EE"/>
    <w:rsid w:val="008F7A4E"/>
    <w:rsid w:val="0091053B"/>
    <w:rsid w:val="009112CE"/>
    <w:rsid w:val="00911C8F"/>
    <w:rsid w:val="00911F2B"/>
    <w:rsid w:val="009128B7"/>
    <w:rsid w:val="00912B3E"/>
    <w:rsid w:val="0091378D"/>
    <w:rsid w:val="00925954"/>
    <w:rsid w:val="009427B0"/>
    <w:rsid w:val="0095217B"/>
    <w:rsid w:val="009554CC"/>
    <w:rsid w:val="00965566"/>
    <w:rsid w:val="00975ECB"/>
    <w:rsid w:val="00984BC2"/>
    <w:rsid w:val="00997849"/>
    <w:rsid w:val="009A3950"/>
    <w:rsid w:val="009A5E52"/>
    <w:rsid w:val="009B1832"/>
    <w:rsid w:val="009B54D1"/>
    <w:rsid w:val="009C108E"/>
    <w:rsid w:val="009C3DBD"/>
    <w:rsid w:val="009D1A95"/>
    <w:rsid w:val="009D219F"/>
    <w:rsid w:val="009D22EC"/>
    <w:rsid w:val="009D7E34"/>
    <w:rsid w:val="009E5D88"/>
    <w:rsid w:val="009E6D3F"/>
    <w:rsid w:val="009F0FA1"/>
    <w:rsid w:val="009F29F2"/>
    <w:rsid w:val="009F6E2F"/>
    <w:rsid w:val="00A12339"/>
    <w:rsid w:val="00A12713"/>
    <w:rsid w:val="00A1279E"/>
    <w:rsid w:val="00A130C6"/>
    <w:rsid w:val="00A23C39"/>
    <w:rsid w:val="00A2460C"/>
    <w:rsid w:val="00A24933"/>
    <w:rsid w:val="00A24B18"/>
    <w:rsid w:val="00A33EDE"/>
    <w:rsid w:val="00A34F79"/>
    <w:rsid w:val="00A37C2F"/>
    <w:rsid w:val="00A407BF"/>
    <w:rsid w:val="00A62F16"/>
    <w:rsid w:val="00A64934"/>
    <w:rsid w:val="00A64E61"/>
    <w:rsid w:val="00A666CE"/>
    <w:rsid w:val="00A821E9"/>
    <w:rsid w:val="00A86E44"/>
    <w:rsid w:val="00A87A82"/>
    <w:rsid w:val="00A96ED5"/>
    <w:rsid w:val="00AA0C01"/>
    <w:rsid w:val="00AA420C"/>
    <w:rsid w:val="00AA52F2"/>
    <w:rsid w:val="00AB094E"/>
    <w:rsid w:val="00AD0C56"/>
    <w:rsid w:val="00AE1171"/>
    <w:rsid w:val="00AE1B19"/>
    <w:rsid w:val="00AF1A73"/>
    <w:rsid w:val="00B01386"/>
    <w:rsid w:val="00B04D63"/>
    <w:rsid w:val="00B12313"/>
    <w:rsid w:val="00B2001C"/>
    <w:rsid w:val="00B21C55"/>
    <w:rsid w:val="00B279B3"/>
    <w:rsid w:val="00B3425D"/>
    <w:rsid w:val="00B40F3A"/>
    <w:rsid w:val="00B51530"/>
    <w:rsid w:val="00B51823"/>
    <w:rsid w:val="00B6012C"/>
    <w:rsid w:val="00B61B11"/>
    <w:rsid w:val="00B658A7"/>
    <w:rsid w:val="00B675DC"/>
    <w:rsid w:val="00B70584"/>
    <w:rsid w:val="00B76865"/>
    <w:rsid w:val="00B77B82"/>
    <w:rsid w:val="00B800F0"/>
    <w:rsid w:val="00B827BD"/>
    <w:rsid w:val="00B83382"/>
    <w:rsid w:val="00B94345"/>
    <w:rsid w:val="00B94774"/>
    <w:rsid w:val="00BA05DC"/>
    <w:rsid w:val="00BB4057"/>
    <w:rsid w:val="00BB4E38"/>
    <w:rsid w:val="00BC4599"/>
    <w:rsid w:val="00BD385D"/>
    <w:rsid w:val="00BD40D7"/>
    <w:rsid w:val="00BD5212"/>
    <w:rsid w:val="00BD674B"/>
    <w:rsid w:val="00BD6BCB"/>
    <w:rsid w:val="00BF0336"/>
    <w:rsid w:val="00BF1300"/>
    <w:rsid w:val="00BF1C96"/>
    <w:rsid w:val="00BF3ECC"/>
    <w:rsid w:val="00BF410C"/>
    <w:rsid w:val="00BF6FC0"/>
    <w:rsid w:val="00C06CA8"/>
    <w:rsid w:val="00C106CE"/>
    <w:rsid w:val="00C13EE8"/>
    <w:rsid w:val="00C14B98"/>
    <w:rsid w:val="00C275A8"/>
    <w:rsid w:val="00C35AC8"/>
    <w:rsid w:val="00C37145"/>
    <w:rsid w:val="00C37C44"/>
    <w:rsid w:val="00C47626"/>
    <w:rsid w:val="00C51509"/>
    <w:rsid w:val="00C53C1E"/>
    <w:rsid w:val="00C56F94"/>
    <w:rsid w:val="00C60074"/>
    <w:rsid w:val="00C616A9"/>
    <w:rsid w:val="00C63821"/>
    <w:rsid w:val="00C652B2"/>
    <w:rsid w:val="00C67617"/>
    <w:rsid w:val="00C70410"/>
    <w:rsid w:val="00C73B0A"/>
    <w:rsid w:val="00C755AB"/>
    <w:rsid w:val="00C76CDF"/>
    <w:rsid w:val="00C81943"/>
    <w:rsid w:val="00C83007"/>
    <w:rsid w:val="00C8425A"/>
    <w:rsid w:val="00C95B49"/>
    <w:rsid w:val="00CA5E7E"/>
    <w:rsid w:val="00CB536B"/>
    <w:rsid w:val="00CC258F"/>
    <w:rsid w:val="00CC4CEE"/>
    <w:rsid w:val="00CD0A95"/>
    <w:rsid w:val="00CD1442"/>
    <w:rsid w:val="00CD6D0A"/>
    <w:rsid w:val="00CD7F1C"/>
    <w:rsid w:val="00CE45E8"/>
    <w:rsid w:val="00CE6F22"/>
    <w:rsid w:val="00D01CF7"/>
    <w:rsid w:val="00D06414"/>
    <w:rsid w:val="00D102E5"/>
    <w:rsid w:val="00D1235E"/>
    <w:rsid w:val="00D136A7"/>
    <w:rsid w:val="00D14DD1"/>
    <w:rsid w:val="00D16CE1"/>
    <w:rsid w:val="00D17ED4"/>
    <w:rsid w:val="00D2050C"/>
    <w:rsid w:val="00D224C6"/>
    <w:rsid w:val="00D23FD0"/>
    <w:rsid w:val="00D35D74"/>
    <w:rsid w:val="00D42153"/>
    <w:rsid w:val="00D431A9"/>
    <w:rsid w:val="00D44BF4"/>
    <w:rsid w:val="00D66489"/>
    <w:rsid w:val="00D708A4"/>
    <w:rsid w:val="00D76591"/>
    <w:rsid w:val="00D80E61"/>
    <w:rsid w:val="00D81457"/>
    <w:rsid w:val="00D865CC"/>
    <w:rsid w:val="00D9385C"/>
    <w:rsid w:val="00D9563B"/>
    <w:rsid w:val="00DA6B14"/>
    <w:rsid w:val="00DB29C3"/>
    <w:rsid w:val="00DB34FB"/>
    <w:rsid w:val="00DB5E42"/>
    <w:rsid w:val="00DC3E41"/>
    <w:rsid w:val="00DC72AF"/>
    <w:rsid w:val="00DC7A6C"/>
    <w:rsid w:val="00DD45F2"/>
    <w:rsid w:val="00DE50D0"/>
    <w:rsid w:val="00DF2D71"/>
    <w:rsid w:val="00E04AC5"/>
    <w:rsid w:val="00E100E4"/>
    <w:rsid w:val="00E20040"/>
    <w:rsid w:val="00E32CCD"/>
    <w:rsid w:val="00E341B8"/>
    <w:rsid w:val="00E3449D"/>
    <w:rsid w:val="00E368EC"/>
    <w:rsid w:val="00E4083E"/>
    <w:rsid w:val="00E441D9"/>
    <w:rsid w:val="00E519FC"/>
    <w:rsid w:val="00E54A90"/>
    <w:rsid w:val="00E715EB"/>
    <w:rsid w:val="00E76C6F"/>
    <w:rsid w:val="00E8378C"/>
    <w:rsid w:val="00E84E2C"/>
    <w:rsid w:val="00E87A35"/>
    <w:rsid w:val="00E95826"/>
    <w:rsid w:val="00EA02B7"/>
    <w:rsid w:val="00EA18C2"/>
    <w:rsid w:val="00EA5787"/>
    <w:rsid w:val="00EC2323"/>
    <w:rsid w:val="00EC302B"/>
    <w:rsid w:val="00ED4AD7"/>
    <w:rsid w:val="00EE11B0"/>
    <w:rsid w:val="00EE191A"/>
    <w:rsid w:val="00EE1B41"/>
    <w:rsid w:val="00F15CB5"/>
    <w:rsid w:val="00F169E7"/>
    <w:rsid w:val="00F30081"/>
    <w:rsid w:val="00F30E35"/>
    <w:rsid w:val="00F35288"/>
    <w:rsid w:val="00F354CA"/>
    <w:rsid w:val="00F4110F"/>
    <w:rsid w:val="00F41870"/>
    <w:rsid w:val="00F456C3"/>
    <w:rsid w:val="00F50E95"/>
    <w:rsid w:val="00F57689"/>
    <w:rsid w:val="00F57D25"/>
    <w:rsid w:val="00F62A23"/>
    <w:rsid w:val="00F710C8"/>
    <w:rsid w:val="00F74622"/>
    <w:rsid w:val="00F80DF4"/>
    <w:rsid w:val="00F81AB6"/>
    <w:rsid w:val="00F83318"/>
    <w:rsid w:val="00F94471"/>
    <w:rsid w:val="00F95671"/>
    <w:rsid w:val="00F958AC"/>
    <w:rsid w:val="00FB4EEB"/>
    <w:rsid w:val="00FC0946"/>
    <w:rsid w:val="00FC438F"/>
    <w:rsid w:val="00FD6BE9"/>
    <w:rsid w:val="00FE3AC9"/>
    <w:rsid w:val="00FF5269"/>
    <w:rsid w:val="00FF6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C2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Normal"/>
    <w:link w:val="Heading2Char"/>
    <w:uiPriority w:val="9"/>
    <w:unhideWhenUsed/>
    <w:qFormat/>
    <w:rsid w:val="008C2F65"/>
    <w:pPr>
      <w:spacing w:before="600"/>
      <w:outlineLvl w:val="1"/>
    </w:pPr>
    <w:rPr>
      <w:rFonts w:ascii="Palatino Linotype" w:hAnsi="Palatino Linotype" w:cs="Arial"/>
      <w:bCs/>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paragraph" w:styleId="BalloonText">
    <w:name w:val="Balloon Text"/>
    <w:basedOn w:val="Normal"/>
    <w:link w:val="BalloonTextChar"/>
    <w:uiPriority w:val="99"/>
    <w:semiHidden/>
    <w:unhideWhenUsed/>
    <w:rsid w:val="002678D9"/>
    <w:rPr>
      <w:rFonts w:ascii="Tahoma" w:hAnsi="Tahoma" w:cs="Tahoma"/>
      <w:sz w:val="16"/>
      <w:szCs w:val="16"/>
    </w:rPr>
  </w:style>
  <w:style w:type="character" w:customStyle="1" w:styleId="BalloonTextChar">
    <w:name w:val="Balloon Text Char"/>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table" w:styleId="TableGrid">
    <w:name w:val="Table Grid"/>
    <w:basedOn w:val="TableNormal"/>
    <w:uiPriority w:val="59"/>
    <w:rsid w:val="0003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6762B"/>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8C2F65"/>
    <w:rPr>
      <w:rFonts w:ascii="Palatino Linotype" w:hAnsi="Palatino Linotype" w:cs="Arial"/>
      <w:bCs/>
      <w:color w:val="000000"/>
      <w:sz w:val="28"/>
      <w:szCs w:val="23"/>
    </w:rPr>
  </w:style>
  <w:style w:type="character" w:customStyle="1" w:styleId="Heading1Char">
    <w:name w:val="Heading 1 Char"/>
    <w:basedOn w:val="DefaultParagraphFont"/>
    <w:link w:val="Heading1"/>
    <w:uiPriority w:val="9"/>
    <w:rsid w:val="008C2F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C2F65"/>
    <w:pPr>
      <w:spacing w:line="276" w:lineRule="auto"/>
      <w:outlineLvl w:val="9"/>
    </w:pPr>
    <w:rPr>
      <w:lang w:eastAsia="ja-JP"/>
    </w:rPr>
  </w:style>
  <w:style w:type="paragraph" w:styleId="TOC2">
    <w:name w:val="toc 2"/>
    <w:basedOn w:val="Normal"/>
    <w:next w:val="Normal"/>
    <w:autoRedefine/>
    <w:uiPriority w:val="39"/>
    <w:unhideWhenUsed/>
    <w:rsid w:val="008C2F6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C2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Normal"/>
    <w:link w:val="Heading2Char"/>
    <w:uiPriority w:val="9"/>
    <w:unhideWhenUsed/>
    <w:qFormat/>
    <w:rsid w:val="008C2F65"/>
    <w:pPr>
      <w:spacing w:before="600"/>
      <w:outlineLvl w:val="1"/>
    </w:pPr>
    <w:rPr>
      <w:rFonts w:ascii="Palatino Linotype" w:hAnsi="Palatino Linotype" w:cs="Arial"/>
      <w:bCs/>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paragraph" w:styleId="BalloonText">
    <w:name w:val="Balloon Text"/>
    <w:basedOn w:val="Normal"/>
    <w:link w:val="BalloonTextChar"/>
    <w:uiPriority w:val="99"/>
    <w:semiHidden/>
    <w:unhideWhenUsed/>
    <w:rsid w:val="002678D9"/>
    <w:rPr>
      <w:rFonts w:ascii="Tahoma" w:hAnsi="Tahoma" w:cs="Tahoma"/>
      <w:sz w:val="16"/>
      <w:szCs w:val="16"/>
    </w:rPr>
  </w:style>
  <w:style w:type="character" w:customStyle="1" w:styleId="BalloonTextChar">
    <w:name w:val="Balloon Text Char"/>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table" w:styleId="TableGrid">
    <w:name w:val="Table Grid"/>
    <w:basedOn w:val="TableNormal"/>
    <w:uiPriority w:val="59"/>
    <w:rsid w:val="0003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6762B"/>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8C2F65"/>
    <w:rPr>
      <w:rFonts w:ascii="Palatino Linotype" w:hAnsi="Palatino Linotype" w:cs="Arial"/>
      <w:bCs/>
      <w:color w:val="000000"/>
      <w:sz w:val="28"/>
      <w:szCs w:val="23"/>
    </w:rPr>
  </w:style>
  <w:style w:type="character" w:customStyle="1" w:styleId="Heading1Char">
    <w:name w:val="Heading 1 Char"/>
    <w:basedOn w:val="DefaultParagraphFont"/>
    <w:link w:val="Heading1"/>
    <w:uiPriority w:val="9"/>
    <w:rsid w:val="008C2F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C2F65"/>
    <w:pPr>
      <w:spacing w:line="276" w:lineRule="auto"/>
      <w:outlineLvl w:val="9"/>
    </w:pPr>
    <w:rPr>
      <w:lang w:eastAsia="ja-JP"/>
    </w:rPr>
  </w:style>
  <w:style w:type="paragraph" w:styleId="TOC2">
    <w:name w:val="toc 2"/>
    <w:basedOn w:val="Normal"/>
    <w:next w:val="Normal"/>
    <w:autoRedefine/>
    <w:uiPriority w:val="39"/>
    <w:unhideWhenUsed/>
    <w:rsid w:val="008C2F65"/>
    <w:pPr>
      <w:spacing w:after="100"/>
      <w:ind w:left="220"/>
    </w:pPr>
  </w:style>
</w:styles>
</file>

<file path=word/webSettings.xml><?xml version="1.0" encoding="utf-8"?>
<w:webSettings xmlns:r="http://schemas.openxmlformats.org/officeDocument/2006/relationships" xmlns:w="http://schemas.openxmlformats.org/wordprocessingml/2006/main">
  <w:divs>
    <w:div w:id="924723913">
      <w:bodyDiv w:val="1"/>
      <w:marLeft w:val="0"/>
      <w:marRight w:val="0"/>
      <w:marTop w:val="0"/>
      <w:marBottom w:val="0"/>
      <w:divBdr>
        <w:top w:val="none" w:sz="0" w:space="0" w:color="auto"/>
        <w:left w:val="none" w:sz="0" w:space="0" w:color="auto"/>
        <w:bottom w:val="none" w:sz="0" w:space="0" w:color="auto"/>
        <w:right w:val="none" w:sz="0" w:space="0" w:color="auto"/>
      </w:divBdr>
    </w:div>
    <w:div w:id="1185092465">
      <w:bodyDiv w:val="1"/>
      <w:marLeft w:val="0"/>
      <w:marRight w:val="0"/>
      <w:marTop w:val="0"/>
      <w:marBottom w:val="0"/>
      <w:divBdr>
        <w:top w:val="none" w:sz="0" w:space="0" w:color="auto"/>
        <w:left w:val="none" w:sz="0" w:space="0" w:color="auto"/>
        <w:bottom w:val="none" w:sz="0" w:space="0" w:color="auto"/>
        <w:right w:val="none" w:sz="0" w:space="0" w:color="auto"/>
      </w:divBdr>
    </w:div>
    <w:div w:id="1428187809">
      <w:bodyDiv w:val="1"/>
      <w:marLeft w:val="0"/>
      <w:marRight w:val="0"/>
      <w:marTop w:val="0"/>
      <w:marBottom w:val="0"/>
      <w:divBdr>
        <w:top w:val="none" w:sz="0" w:space="0" w:color="auto"/>
        <w:left w:val="none" w:sz="0" w:space="0" w:color="auto"/>
        <w:bottom w:val="none" w:sz="0" w:space="0" w:color="auto"/>
        <w:right w:val="none" w:sz="0" w:space="0" w:color="auto"/>
      </w:divBdr>
    </w:div>
    <w:div w:id="1624654678">
      <w:bodyDiv w:val="1"/>
      <w:marLeft w:val="0"/>
      <w:marRight w:val="0"/>
      <w:marTop w:val="0"/>
      <w:marBottom w:val="0"/>
      <w:divBdr>
        <w:top w:val="none" w:sz="0" w:space="0" w:color="auto"/>
        <w:left w:val="none" w:sz="0" w:space="0" w:color="auto"/>
        <w:bottom w:val="none" w:sz="0" w:space="0" w:color="auto"/>
        <w:right w:val="none" w:sz="0" w:space="0" w:color="auto"/>
      </w:divBdr>
    </w:div>
    <w:div w:id="17821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61C74-2E5B-437E-A36E-36028A8D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cschary</cp:lastModifiedBy>
  <cp:revision>2</cp:revision>
  <cp:lastPrinted>2013-03-26T23:38:00Z</cp:lastPrinted>
  <dcterms:created xsi:type="dcterms:W3CDTF">2013-03-27T19:08:00Z</dcterms:created>
  <dcterms:modified xsi:type="dcterms:W3CDTF">2013-03-27T19:08:00Z</dcterms:modified>
</cp:coreProperties>
</file>