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5E8" w:rsidRDefault="005B25E8" w:rsidP="003D0FF2">
      <w:pPr>
        <w:pStyle w:val="Default"/>
        <w:rPr>
          <w:rFonts w:ascii="Palatino Linotype" w:hAnsi="Palatino Linotype" w:cs="Arial"/>
          <w:b/>
          <w:bCs/>
          <w:sz w:val="28"/>
          <w:szCs w:val="23"/>
        </w:rPr>
      </w:pPr>
    </w:p>
    <w:p w:rsidR="00C616A9" w:rsidRDefault="00C616A9" w:rsidP="003D0FF2">
      <w:pPr>
        <w:pStyle w:val="Default"/>
        <w:rPr>
          <w:rFonts w:ascii="Palatino Linotype" w:hAnsi="Palatino Linotype" w:cs="Arial"/>
          <w:b/>
          <w:bCs/>
          <w:sz w:val="28"/>
          <w:szCs w:val="23"/>
        </w:rPr>
      </w:pPr>
      <w:r>
        <w:rPr>
          <w:rFonts w:ascii="Palatino Linotype" w:hAnsi="Palatino Linotype" w:cs="Arial"/>
          <w:b/>
          <w:bCs/>
          <w:sz w:val="28"/>
          <w:szCs w:val="23"/>
        </w:rPr>
        <w:t>Discussion Guide, March 13, 2013</w:t>
      </w:r>
    </w:p>
    <w:p w:rsidR="003D0FF2" w:rsidRDefault="00841EC0" w:rsidP="00726DDC">
      <w:pPr>
        <w:pStyle w:val="Default"/>
        <w:pBdr>
          <w:bottom w:val="single" w:sz="4" w:space="1" w:color="auto"/>
        </w:pBdr>
        <w:spacing w:before="360"/>
        <w:rPr>
          <w:rFonts w:ascii="Palatino Linotype" w:hAnsi="Palatino Linotype" w:cs="Arial"/>
          <w:b/>
          <w:bCs/>
          <w:sz w:val="28"/>
          <w:szCs w:val="23"/>
        </w:rPr>
      </w:pPr>
      <w:r>
        <w:rPr>
          <w:rFonts w:ascii="Palatino Linotype" w:hAnsi="Palatino Linotype" w:cs="Arial"/>
          <w:b/>
          <w:bCs/>
          <w:sz w:val="28"/>
          <w:szCs w:val="23"/>
        </w:rPr>
        <w:t>1.</w:t>
      </w:r>
      <w:r w:rsidR="00C616A9">
        <w:rPr>
          <w:rFonts w:ascii="Palatino Linotype" w:hAnsi="Palatino Linotype" w:cs="Arial"/>
          <w:b/>
          <w:bCs/>
          <w:sz w:val="28"/>
          <w:szCs w:val="23"/>
        </w:rPr>
        <w:t xml:space="preserve"> Eligibility for water quality trading: </w:t>
      </w:r>
    </w:p>
    <w:p w:rsidR="003D0FF2" w:rsidRDefault="00362530" w:rsidP="003D0FF2">
      <w:pPr>
        <w:pStyle w:val="Default"/>
        <w:rPr>
          <w:rFonts w:asciiTheme="minorHAnsi" w:hAnsiTheme="minorHAnsi" w:cs="Arial"/>
          <w:bCs/>
        </w:rPr>
      </w:pPr>
      <w:r>
        <w:rPr>
          <w:rFonts w:asciiTheme="minorHAnsi" w:hAnsiTheme="minorHAnsi" w:cs="Arial"/>
          <w:bCs/>
        </w:rPr>
        <w:t xml:space="preserve">Trading is not </w:t>
      </w:r>
      <w:r w:rsidR="00460A2F">
        <w:rPr>
          <w:rFonts w:asciiTheme="minorHAnsi" w:hAnsiTheme="minorHAnsi" w:cs="Arial"/>
          <w:bCs/>
        </w:rPr>
        <w:t>appropriate</w:t>
      </w:r>
      <w:r>
        <w:rPr>
          <w:rFonts w:asciiTheme="minorHAnsi" w:hAnsiTheme="minorHAnsi" w:cs="Arial"/>
          <w:bCs/>
        </w:rPr>
        <w:t xml:space="preserve"> in every watershed, or in every situation. The sections below describe some of the eligibility criteria that may be applied to point sources seeking to engage in trading and projects seeking to generate credits. </w:t>
      </w:r>
      <w:r w:rsidR="00460A2F">
        <w:rPr>
          <w:rFonts w:asciiTheme="minorHAnsi" w:hAnsiTheme="minorHAnsi" w:cs="Arial"/>
          <w:bCs/>
        </w:rPr>
        <w:t>This includes:</w:t>
      </w:r>
    </w:p>
    <w:p w:rsidR="00F94F03" w:rsidRDefault="00F94F03" w:rsidP="003D0FF2">
      <w:pPr>
        <w:pStyle w:val="Default"/>
        <w:rPr>
          <w:rFonts w:asciiTheme="minorHAnsi" w:hAnsiTheme="minorHAnsi" w:cs="Arial"/>
          <w:bCs/>
        </w:rPr>
      </w:pPr>
    </w:p>
    <w:bookmarkStart w:id="0" w:name="_GoBack"/>
    <w:bookmarkEnd w:id="0"/>
    <w:p w:rsidR="00044CBB" w:rsidRDefault="00C82800">
      <w:pPr>
        <w:pStyle w:val="TOC2"/>
        <w:tabs>
          <w:tab w:val="right" w:leader="dot" w:pos="9926"/>
        </w:tabs>
        <w:rPr>
          <w:rFonts w:asciiTheme="minorHAnsi" w:eastAsiaTheme="minorEastAsia" w:hAnsiTheme="minorHAnsi" w:cstheme="minorBidi"/>
          <w:noProof/>
        </w:rPr>
      </w:pPr>
      <w:r w:rsidRPr="00C82800">
        <w:rPr>
          <w:rFonts w:asciiTheme="minorHAnsi" w:hAnsiTheme="minorHAnsi" w:cs="Arial"/>
          <w:bCs/>
        </w:rPr>
        <w:fldChar w:fldCharType="begin"/>
      </w:r>
      <w:r w:rsidR="00F94F03">
        <w:rPr>
          <w:rFonts w:asciiTheme="minorHAnsi" w:hAnsiTheme="minorHAnsi" w:cs="Arial"/>
          <w:bCs/>
        </w:rPr>
        <w:instrText xml:space="preserve"> TOC \o "1-2" \h \z \u </w:instrText>
      </w:r>
      <w:r w:rsidRPr="00C82800">
        <w:rPr>
          <w:rFonts w:asciiTheme="minorHAnsi" w:hAnsiTheme="minorHAnsi" w:cs="Arial"/>
          <w:bCs/>
        </w:rPr>
        <w:fldChar w:fldCharType="separate"/>
      </w:r>
      <w:hyperlink w:anchor="_Toc352136089" w:history="1">
        <w:r w:rsidR="00044CBB" w:rsidRPr="00916A88">
          <w:rPr>
            <w:rStyle w:val="Hyperlink"/>
            <w:b/>
            <w:noProof/>
          </w:rPr>
          <w:t>1.1. Eligible regulatory trading environments</w:t>
        </w:r>
        <w:r w:rsidR="00044CBB">
          <w:rPr>
            <w:noProof/>
            <w:webHidden/>
          </w:rPr>
          <w:tab/>
        </w:r>
        <w:r>
          <w:rPr>
            <w:noProof/>
            <w:webHidden/>
          </w:rPr>
          <w:fldChar w:fldCharType="begin"/>
        </w:r>
        <w:r w:rsidR="00044CBB">
          <w:rPr>
            <w:noProof/>
            <w:webHidden/>
          </w:rPr>
          <w:instrText xml:space="preserve"> PAGEREF _Toc352136089 \h </w:instrText>
        </w:r>
        <w:r>
          <w:rPr>
            <w:noProof/>
            <w:webHidden/>
          </w:rPr>
        </w:r>
        <w:r>
          <w:rPr>
            <w:noProof/>
            <w:webHidden/>
          </w:rPr>
          <w:fldChar w:fldCharType="separate"/>
        </w:r>
        <w:r w:rsidR="00044CBB">
          <w:rPr>
            <w:noProof/>
            <w:webHidden/>
          </w:rPr>
          <w:t>1</w:t>
        </w:r>
        <w:r>
          <w:rPr>
            <w:noProof/>
            <w:webHidden/>
          </w:rPr>
          <w:fldChar w:fldCharType="end"/>
        </w:r>
      </w:hyperlink>
    </w:p>
    <w:p w:rsidR="00044CBB" w:rsidRDefault="00C82800">
      <w:pPr>
        <w:pStyle w:val="TOC2"/>
        <w:tabs>
          <w:tab w:val="right" w:leader="dot" w:pos="9926"/>
        </w:tabs>
        <w:rPr>
          <w:rFonts w:asciiTheme="minorHAnsi" w:eastAsiaTheme="minorEastAsia" w:hAnsiTheme="minorHAnsi" w:cstheme="minorBidi"/>
          <w:noProof/>
        </w:rPr>
      </w:pPr>
      <w:hyperlink w:anchor="_Toc352136090" w:history="1">
        <w:r w:rsidR="00044CBB" w:rsidRPr="00916A88">
          <w:rPr>
            <w:rStyle w:val="Hyperlink"/>
            <w:b/>
            <w:noProof/>
          </w:rPr>
          <w:t>1.2. Eligible credit buyers</w:t>
        </w:r>
        <w:r w:rsidR="00044CBB">
          <w:rPr>
            <w:noProof/>
            <w:webHidden/>
          </w:rPr>
          <w:tab/>
        </w:r>
        <w:r>
          <w:rPr>
            <w:noProof/>
            <w:webHidden/>
          </w:rPr>
          <w:fldChar w:fldCharType="begin"/>
        </w:r>
        <w:r w:rsidR="00044CBB">
          <w:rPr>
            <w:noProof/>
            <w:webHidden/>
          </w:rPr>
          <w:instrText xml:space="preserve"> PAGEREF _Toc352136090 \h </w:instrText>
        </w:r>
        <w:r>
          <w:rPr>
            <w:noProof/>
            <w:webHidden/>
          </w:rPr>
        </w:r>
        <w:r>
          <w:rPr>
            <w:noProof/>
            <w:webHidden/>
          </w:rPr>
          <w:fldChar w:fldCharType="separate"/>
        </w:r>
        <w:r w:rsidR="00044CBB">
          <w:rPr>
            <w:noProof/>
            <w:webHidden/>
          </w:rPr>
          <w:t>4</w:t>
        </w:r>
        <w:r>
          <w:rPr>
            <w:noProof/>
            <w:webHidden/>
          </w:rPr>
          <w:fldChar w:fldCharType="end"/>
        </w:r>
      </w:hyperlink>
    </w:p>
    <w:p w:rsidR="00044CBB" w:rsidRDefault="00C82800">
      <w:pPr>
        <w:pStyle w:val="TOC2"/>
        <w:tabs>
          <w:tab w:val="right" w:leader="dot" w:pos="9926"/>
        </w:tabs>
        <w:rPr>
          <w:rFonts w:asciiTheme="minorHAnsi" w:eastAsiaTheme="minorEastAsia" w:hAnsiTheme="minorHAnsi" w:cstheme="minorBidi"/>
          <w:noProof/>
        </w:rPr>
      </w:pPr>
      <w:hyperlink w:anchor="_Toc352136091" w:history="1">
        <w:r w:rsidR="00044CBB" w:rsidRPr="00916A88">
          <w:rPr>
            <w:rStyle w:val="Hyperlink"/>
            <w:b/>
            <w:noProof/>
          </w:rPr>
          <w:t>1.3. Trading area</w:t>
        </w:r>
        <w:r w:rsidR="00044CBB">
          <w:rPr>
            <w:noProof/>
            <w:webHidden/>
          </w:rPr>
          <w:tab/>
        </w:r>
        <w:r>
          <w:rPr>
            <w:noProof/>
            <w:webHidden/>
          </w:rPr>
          <w:fldChar w:fldCharType="begin"/>
        </w:r>
        <w:r w:rsidR="00044CBB">
          <w:rPr>
            <w:noProof/>
            <w:webHidden/>
          </w:rPr>
          <w:instrText xml:space="preserve"> PAGEREF _Toc352136091 \h </w:instrText>
        </w:r>
        <w:r>
          <w:rPr>
            <w:noProof/>
            <w:webHidden/>
          </w:rPr>
        </w:r>
        <w:r>
          <w:rPr>
            <w:noProof/>
            <w:webHidden/>
          </w:rPr>
          <w:fldChar w:fldCharType="separate"/>
        </w:r>
        <w:r w:rsidR="00044CBB">
          <w:rPr>
            <w:noProof/>
            <w:webHidden/>
          </w:rPr>
          <w:t>5</w:t>
        </w:r>
        <w:r>
          <w:rPr>
            <w:noProof/>
            <w:webHidden/>
          </w:rPr>
          <w:fldChar w:fldCharType="end"/>
        </w:r>
      </w:hyperlink>
    </w:p>
    <w:p w:rsidR="00044CBB" w:rsidRDefault="00C82800">
      <w:pPr>
        <w:pStyle w:val="TOC2"/>
        <w:tabs>
          <w:tab w:val="right" w:leader="dot" w:pos="9926"/>
        </w:tabs>
        <w:rPr>
          <w:rFonts w:asciiTheme="minorHAnsi" w:eastAsiaTheme="minorEastAsia" w:hAnsiTheme="minorHAnsi" w:cstheme="minorBidi"/>
          <w:noProof/>
        </w:rPr>
      </w:pPr>
      <w:hyperlink w:anchor="_Toc352136092" w:history="1">
        <w:r w:rsidR="00044CBB" w:rsidRPr="00916A88">
          <w:rPr>
            <w:rStyle w:val="Hyperlink"/>
            <w:b/>
            <w:noProof/>
          </w:rPr>
          <w:t>1.4. Eligible pollutants for trading</w:t>
        </w:r>
        <w:r w:rsidR="00044CBB">
          <w:rPr>
            <w:noProof/>
            <w:webHidden/>
          </w:rPr>
          <w:tab/>
        </w:r>
        <w:r>
          <w:rPr>
            <w:noProof/>
            <w:webHidden/>
          </w:rPr>
          <w:fldChar w:fldCharType="begin"/>
        </w:r>
        <w:r w:rsidR="00044CBB">
          <w:rPr>
            <w:noProof/>
            <w:webHidden/>
          </w:rPr>
          <w:instrText xml:space="preserve"> PAGEREF _Toc352136092 \h </w:instrText>
        </w:r>
        <w:r>
          <w:rPr>
            <w:noProof/>
            <w:webHidden/>
          </w:rPr>
        </w:r>
        <w:r>
          <w:rPr>
            <w:noProof/>
            <w:webHidden/>
          </w:rPr>
          <w:fldChar w:fldCharType="separate"/>
        </w:r>
        <w:r w:rsidR="00044CBB">
          <w:rPr>
            <w:noProof/>
            <w:webHidden/>
          </w:rPr>
          <w:t>6</w:t>
        </w:r>
        <w:r>
          <w:rPr>
            <w:noProof/>
            <w:webHidden/>
          </w:rPr>
          <w:fldChar w:fldCharType="end"/>
        </w:r>
      </w:hyperlink>
    </w:p>
    <w:p w:rsidR="00044CBB" w:rsidRDefault="00C82800">
      <w:pPr>
        <w:pStyle w:val="TOC2"/>
        <w:tabs>
          <w:tab w:val="right" w:leader="dot" w:pos="9926"/>
        </w:tabs>
        <w:rPr>
          <w:rFonts w:asciiTheme="minorHAnsi" w:eastAsiaTheme="minorEastAsia" w:hAnsiTheme="minorHAnsi" w:cstheme="minorBidi"/>
          <w:noProof/>
        </w:rPr>
      </w:pPr>
      <w:hyperlink w:anchor="_Toc352136093" w:history="1">
        <w:r w:rsidR="00044CBB" w:rsidRPr="00916A88">
          <w:rPr>
            <w:rStyle w:val="Hyperlink"/>
            <w:b/>
            <w:noProof/>
          </w:rPr>
          <w:t>1.5. Eligible credit-generating actions</w:t>
        </w:r>
        <w:r w:rsidR="00044CBB">
          <w:rPr>
            <w:noProof/>
            <w:webHidden/>
          </w:rPr>
          <w:tab/>
        </w:r>
        <w:r>
          <w:rPr>
            <w:noProof/>
            <w:webHidden/>
          </w:rPr>
          <w:fldChar w:fldCharType="begin"/>
        </w:r>
        <w:r w:rsidR="00044CBB">
          <w:rPr>
            <w:noProof/>
            <w:webHidden/>
          </w:rPr>
          <w:instrText xml:space="preserve"> PAGEREF _Toc352136093 \h </w:instrText>
        </w:r>
        <w:r>
          <w:rPr>
            <w:noProof/>
            <w:webHidden/>
          </w:rPr>
        </w:r>
        <w:r>
          <w:rPr>
            <w:noProof/>
            <w:webHidden/>
          </w:rPr>
          <w:fldChar w:fldCharType="separate"/>
        </w:r>
        <w:r w:rsidR="00044CBB">
          <w:rPr>
            <w:noProof/>
            <w:webHidden/>
          </w:rPr>
          <w:t>7</w:t>
        </w:r>
        <w:r>
          <w:rPr>
            <w:noProof/>
            <w:webHidden/>
          </w:rPr>
          <w:fldChar w:fldCharType="end"/>
        </w:r>
      </w:hyperlink>
    </w:p>
    <w:p w:rsidR="00E441D9" w:rsidRPr="0051036D" w:rsidRDefault="00C82800" w:rsidP="00E206EB">
      <w:pPr>
        <w:pStyle w:val="Heading2"/>
        <w:rPr>
          <w:b/>
        </w:rPr>
      </w:pPr>
      <w:r>
        <w:rPr>
          <w:rFonts w:asciiTheme="minorHAnsi" w:hAnsiTheme="minorHAnsi"/>
        </w:rPr>
        <w:fldChar w:fldCharType="end"/>
      </w:r>
      <w:bookmarkStart w:id="1" w:name="_Toc352136089"/>
      <w:r w:rsidR="00841EC0" w:rsidRPr="0051036D">
        <w:rPr>
          <w:b/>
        </w:rPr>
        <w:t>1.1</w:t>
      </w:r>
      <w:r w:rsidR="003D0FF2" w:rsidRPr="0051036D">
        <w:rPr>
          <w:b/>
        </w:rPr>
        <w:t xml:space="preserve">. </w:t>
      </w:r>
      <w:r w:rsidR="00715AFD" w:rsidRPr="0051036D">
        <w:rPr>
          <w:b/>
        </w:rPr>
        <w:t>Eligible regulatory trading environments</w:t>
      </w:r>
      <w:bookmarkEnd w:id="1"/>
    </w:p>
    <w:p w:rsidR="00A723B8" w:rsidRDefault="00362530" w:rsidP="007E25D5">
      <w:pPr>
        <w:pStyle w:val="Default"/>
        <w:rPr>
          <w:rFonts w:asciiTheme="minorHAnsi" w:hAnsiTheme="minorHAnsi" w:cs="Arial"/>
          <w:bCs/>
        </w:rPr>
      </w:pPr>
      <w:r>
        <w:rPr>
          <w:rFonts w:asciiTheme="minorHAnsi" w:hAnsiTheme="minorHAnsi" w:cs="Arial"/>
          <w:bCs/>
        </w:rPr>
        <w:t>There are multiple</w:t>
      </w:r>
      <w:r w:rsidR="00715AFD">
        <w:rPr>
          <w:rFonts w:asciiTheme="minorHAnsi" w:hAnsiTheme="minorHAnsi" w:cs="Arial"/>
          <w:bCs/>
        </w:rPr>
        <w:t xml:space="preserve"> regulatory environments </w:t>
      </w:r>
      <w:r>
        <w:rPr>
          <w:rFonts w:asciiTheme="minorHAnsi" w:hAnsiTheme="minorHAnsi" w:cs="Arial"/>
          <w:bCs/>
        </w:rPr>
        <w:t>in which</w:t>
      </w:r>
      <w:r w:rsidR="00715AFD">
        <w:rPr>
          <w:rFonts w:asciiTheme="minorHAnsi" w:hAnsiTheme="minorHAnsi" w:cs="Arial"/>
          <w:bCs/>
        </w:rPr>
        <w:t xml:space="preserve"> trading </w:t>
      </w:r>
      <w:r>
        <w:rPr>
          <w:rFonts w:asciiTheme="minorHAnsi" w:hAnsiTheme="minorHAnsi" w:cs="Arial"/>
          <w:bCs/>
        </w:rPr>
        <w:t>has been considered or applied. This section lays out those scenarios in which the Joint Regional Agreement may wish to make a statement on whether and how trading is appropriate</w:t>
      </w:r>
      <w:r w:rsidR="00D01D61">
        <w:rPr>
          <w:rFonts w:asciiTheme="minorHAnsi" w:hAnsiTheme="minorHAnsi" w:cs="Arial"/>
          <w:bCs/>
        </w:rPr>
        <w:t>. This section also</w:t>
      </w:r>
      <w:r>
        <w:rPr>
          <w:rFonts w:asciiTheme="minorHAnsi" w:hAnsiTheme="minorHAnsi" w:cs="Arial"/>
          <w:bCs/>
        </w:rPr>
        <w:t xml:space="preserve"> seeks to</w:t>
      </w:r>
      <w:r w:rsidR="00715AFD">
        <w:rPr>
          <w:rFonts w:asciiTheme="minorHAnsi" w:hAnsiTheme="minorHAnsi" w:cs="Arial"/>
          <w:bCs/>
        </w:rPr>
        <w:t xml:space="preserve"> define some criteria in which trades may or may not work in any given regulatory environment. Most of USEPA’s guidance on trading has focused on trading within a TMDL regulatory environment. Trades or other forms of offsets have occurred nationally under the following regulatory environments:</w:t>
      </w:r>
    </w:p>
    <w:p w:rsidR="007E25D5" w:rsidRDefault="007E25D5" w:rsidP="007E25D5">
      <w:pPr>
        <w:pStyle w:val="Default"/>
        <w:rPr>
          <w:rFonts w:asciiTheme="minorHAnsi" w:hAnsiTheme="minorHAnsi" w:cs="Arial"/>
          <w:bCs/>
        </w:rPr>
      </w:pPr>
    </w:p>
    <w:p w:rsidR="00715AFD" w:rsidRDefault="00624CFF" w:rsidP="00D01D61">
      <w:pPr>
        <w:pStyle w:val="Default"/>
        <w:numPr>
          <w:ilvl w:val="0"/>
          <w:numId w:val="37"/>
        </w:numPr>
        <w:rPr>
          <w:rFonts w:asciiTheme="minorHAnsi" w:hAnsiTheme="minorHAnsi" w:cs="Arial"/>
          <w:bCs/>
        </w:rPr>
      </w:pPr>
      <w:r>
        <w:rPr>
          <w:rFonts w:asciiTheme="minorHAnsi" w:hAnsiTheme="minorHAnsi" w:cs="Arial"/>
          <w:bCs/>
        </w:rPr>
        <w:t>NPDES permits under</w:t>
      </w:r>
      <w:r w:rsidR="00715AFD">
        <w:rPr>
          <w:rFonts w:asciiTheme="minorHAnsi" w:hAnsiTheme="minorHAnsi" w:cs="Arial"/>
          <w:bCs/>
        </w:rPr>
        <w:t xml:space="preserve"> a TMDL (e.g. Rogue River, Willamette River, and many other programs)</w:t>
      </w:r>
    </w:p>
    <w:p w:rsidR="00715AFD" w:rsidRDefault="00715AFD" w:rsidP="00D01D61">
      <w:pPr>
        <w:pStyle w:val="Default"/>
        <w:numPr>
          <w:ilvl w:val="0"/>
          <w:numId w:val="37"/>
        </w:numPr>
        <w:rPr>
          <w:rFonts w:asciiTheme="minorHAnsi" w:hAnsiTheme="minorHAnsi" w:cs="Arial"/>
          <w:bCs/>
        </w:rPr>
      </w:pPr>
      <w:r>
        <w:rPr>
          <w:rFonts w:asciiTheme="minorHAnsi" w:hAnsiTheme="minorHAnsi" w:cs="Arial"/>
          <w:bCs/>
        </w:rPr>
        <w:t>NPDES permits outside of a TMDL (e.g. Great Miami River in anticipation of a TMDL, Ohio River Basin in anticipation of nutrient criteria, Twin Falls as an offset</w:t>
      </w:r>
      <w:r w:rsidR="00624CFF">
        <w:rPr>
          <w:rFonts w:asciiTheme="minorHAnsi" w:hAnsiTheme="minorHAnsi" w:cs="Arial"/>
          <w:bCs/>
        </w:rPr>
        <w:t xml:space="preserve"> for TSS</w:t>
      </w:r>
      <w:r>
        <w:rPr>
          <w:rFonts w:asciiTheme="minorHAnsi" w:hAnsiTheme="minorHAnsi" w:cs="Arial"/>
          <w:bCs/>
        </w:rPr>
        <w:t>, etc.)</w:t>
      </w:r>
    </w:p>
    <w:p w:rsidR="007E25D5" w:rsidRDefault="007E25D5" w:rsidP="00D01D61">
      <w:pPr>
        <w:pStyle w:val="Default"/>
        <w:numPr>
          <w:ilvl w:val="0"/>
          <w:numId w:val="37"/>
        </w:numPr>
        <w:rPr>
          <w:rFonts w:asciiTheme="minorHAnsi" w:hAnsiTheme="minorHAnsi" w:cs="Arial"/>
          <w:bCs/>
        </w:rPr>
      </w:pPr>
      <w:r>
        <w:rPr>
          <w:rFonts w:asciiTheme="minorHAnsi" w:hAnsiTheme="minorHAnsi" w:cs="Arial"/>
          <w:bCs/>
        </w:rPr>
        <w:t xml:space="preserve">NPDES permits under a variance from water quality standards (e.g. </w:t>
      </w:r>
      <w:r w:rsidR="004D570A">
        <w:rPr>
          <w:rFonts w:asciiTheme="minorHAnsi" w:hAnsiTheme="minorHAnsi" w:cs="Arial"/>
          <w:bCs/>
        </w:rPr>
        <w:t xml:space="preserve">Oregon’s water quality standard variance rule, </w:t>
      </w:r>
      <w:r>
        <w:rPr>
          <w:rFonts w:asciiTheme="minorHAnsi" w:hAnsiTheme="minorHAnsi" w:cs="Arial"/>
          <w:bCs/>
        </w:rPr>
        <w:t>Montana’s new trading policy is designed to allow for a 20-year variance from nutrient criteria if a point source uses trading)</w:t>
      </w:r>
    </w:p>
    <w:p w:rsidR="00715AFD" w:rsidRDefault="00715AFD" w:rsidP="00D01D61">
      <w:pPr>
        <w:pStyle w:val="Default"/>
        <w:numPr>
          <w:ilvl w:val="0"/>
          <w:numId w:val="37"/>
        </w:numPr>
        <w:rPr>
          <w:rFonts w:asciiTheme="minorHAnsi" w:hAnsiTheme="minorHAnsi" w:cs="Arial"/>
          <w:bCs/>
        </w:rPr>
      </w:pPr>
      <w:r>
        <w:rPr>
          <w:rFonts w:asciiTheme="minorHAnsi" w:hAnsiTheme="minorHAnsi" w:cs="Arial"/>
          <w:bCs/>
        </w:rPr>
        <w:t>Section 401 certifications (e.g. PacifiCorp under their Clackamas River relicensing and the Klamath Hydropower Settlement Agreement)</w:t>
      </w:r>
    </w:p>
    <w:p w:rsidR="00715AFD" w:rsidRDefault="00460A2F" w:rsidP="00D01D61">
      <w:pPr>
        <w:pStyle w:val="Default"/>
        <w:numPr>
          <w:ilvl w:val="0"/>
          <w:numId w:val="37"/>
        </w:numPr>
        <w:rPr>
          <w:rFonts w:asciiTheme="minorHAnsi" w:hAnsiTheme="minorHAnsi" w:cs="Arial"/>
          <w:bCs/>
        </w:rPr>
      </w:pPr>
      <w:r>
        <w:rPr>
          <w:rFonts w:asciiTheme="minorHAnsi" w:hAnsiTheme="minorHAnsi" w:cs="Arial"/>
          <w:bCs/>
        </w:rPr>
        <w:t>Stormwater</w:t>
      </w:r>
      <w:r w:rsidR="00715AFD">
        <w:rPr>
          <w:rFonts w:asciiTheme="minorHAnsi" w:hAnsiTheme="minorHAnsi" w:cs="Arial"/>
          <w:bCs/>
        </w:rPr>
        <w:t>--MS4 permits or state orders (e.g. North Carolina’s no net discharge requirements for Falls Lake</w:t>
      </w:r>
      <w:r w:rsidR="004D570A">
        <w:rPr>
          <w:rFonts w:asciiTheme="minorHAnsi" w:hAnsiTheme="minorHAnsi" w:cs="Arial"/>
          <w:bCs/>
        </w:rPr>
        <w:t>,</w:t>
      </w:r>
      <w:r w:rsidR="00715AFD">
        <w:rPr>
          <w:rFonts w:asciiTheme="minorHAnsi" w:hAnsiTheme="minorHAnsi" w:cs="Arial"/>
          <w:bCs/>
        </w:rPr>
        <w:t xml:space="preserve"> </w:t>
      </w:r>
      <w:r w:rsidR="00624CFF">
        <w:rPr>
          <w:rFonts w:asciiTheme="minorHAnsi" w:hAnsiTheme="minorHAnsi" w:cs="Arial"/>
          <w:bCs/>
        </w:rPr>
        <w:t>Washington DC</w:t>
      </w:r>
      <w:r w:rsidR="004D570A">
        <w:rPr>
          <w:rFonts w:asciiTheme="minorHAnsi" w:hAnsiTheme="minorHAnsi" w:cs="Arial"/>
          <w:bCs/>
        </w:rPr>
        <w:t>,</w:t>
      </w:r>
      <w:r w:rsidR="00624CFF">
        <w:rPr>
          <w:rFonts w:asciiTheme="minorHAnsi" w:hAnsiTheme="minorHAnsi" w:cs="Arial"/>
          <w:bCs/>
        </w:rPr>
        <w:t xml:space="preserve"> </w:t>
      </w:r>
      <w:r w:rsidR="00715AFD">
        <w:rPr>
          <w:rFonts w:asciiTheme="minorHAnsi" w:hAnsiTheme="minorHAnsi" w:cs="Arial"/>
          <w:bCs/>
        </w:rPr>
        <w:t>Lake Tahoe Clarity Trading</w:t>
      </w:r>
      <w:r w:rsidR="007E25D5">
        <w:rPr>
          <w:rFonts w:asciiTheme="minorHAnsi" w:hAnsiTheme="minorHAnsi" w:cs="Arial"/>
          <w:bCs/>
        </w:rPr>
        <w:t>)</w:t>
      </w:r>
    </w:p>
    <w:p w:rsidR="007E25D5" w:rsidRDefault="007E25D5" w:rsidP="007E25D5">
      <w:pPr>
        <w:pStyle w:val="Default"/>
        <w:rPr>
          <w:rFonts w:asciiTheme="minorHAnsi" w:hAnsiTheme="minorHAnsi" w:cs="Arial"/>
          <w:bCs/>
        </w:rPr>
      </w:pPr>
    </w:p>
    <w:p w:rsidR="007E25D5" w:rsidRDefault="004D570A" w:rsidP="007E25D5">
      <w:pPr>
        <w:pStyle w:val="Default"/>
        <w:rPr>
          <w:rFonts w:asciiTheme="minorHAnsi" w:hAnsiTheme="minorHAnsi" w:cs="Arial"/>
          <w:bCs/>
        </w:rPr>
      </w:pPr>
      <w:r>
        <w:rPr>
          <w:rFonts w:asciiTheme="minorHAnsi" w:hAnsiTheme="minorHAnsi" w:cs="Arial"/>
          <w:bCs/>
        </w:rPr>
        <w:t>W</w:t>
      </w:r>
      <w:r w:rsidR="007E25D5">
        <w:rPr>
          <w:rFonts w:asciiTheme="minorHAnsi" w:hAnsiTheme="minorHAnsi" w:cs="Arial"/>
          <w:bCs/>
        </w:rPr>
        <w:t>e have not</w:t>
      </w:r>
      <w:r>
        <w:rPr>
          <w:rFonts w:asciiTheme="minorHAnsi" w:hAnsiTheme="minorHAnsi" w:cs="Arial"/>
          <w:bCs/>
        </w:rPr>
        <w:t xml:space="preserve"> conducted</w:t>
      </w:r>
      <w:r w:rsidR="007E25D5">
        <w:rPr>
          <w:rFonts w:asciiTheme="minorHAnsi" w:hAnsiTheme="minorHAnsi" w:cs="Arial"/>
          <w:bCs/>
        </w:rPr>
        <w:t xml:space="preserve"> extensive research on </w:t>
      </w:r>
      <w:r>
        <w:rPr>
          <w:rFonts w:asciiTheme="minorHAnsi" w:hAnsiTheme="minorHAnsi" w:cs="Arial"/>
          <w:bCs/>
        </w:rPr>
        <w:t>how other programs have handled</w:t>
      </w:r>
      <w:r w:rsidR="007E25D5">
        <w:rPr>
          <w:rFonts w:asciiTheme="minorHAnsi" w:hAnsiTheme="minorHAnsi" w:cs="Arial"/>
          <w:bCs/>
        </w:rPr>
        <w:t xml:space="preserve"> </w:t>
      </w:r>
      <w:r>
        <w:rPr>
          <w:rFonts w:asciiTheme="minorHAnsi" w:hAnsiTheme="minorHAnsi" w:cs="Arial"/>
          <w:bCs/>
        </w:rPr>
        <w:t xml:space="preserve">many of these regulatory scenarios </w:t>
      </w:r>
      <w:r w:rsidR="007E25D5">
        <w:rPr>
          <w:rFonts w:asciiTheme="minorHAnsi" w:hAnsiTheme="minorHAnsi" w:cs="Arial"/>
          <w:bCs/>
        </w:rPr>
        <w:t xml:space="preserve">and do not have </w:t>
      </w:r>
      <w:r w:rsidR="00D01D61">
        <w:rPr>
          <w:rFonts w:asciiTheme="minorHAnsi" w:hAnsiTheme="minorHAnsi" w:cs="Arial"/>
          <w:bCs/>
        </w:rPr>
        <w:t xml:space="preserve">a </w:t>
      </w:r>
      <w:r w:rsidR="007E25D5">
        <w:rPr>
          <w:rFonts w:asciiTheme="minorHAnsi" w:hAnsiTheme="minorHAnsi" w:cs="Arial"/>
          <w:bCs/>
        </w:rPr>
        <w:t>clear</w:t>
      </w:r>
      <w:r w:rsidR="00D01D61">
        <w:rPr>
          <w:rFonts w:asciiTheme="minorHAnsi" w:hAnsiTheme="minorHAnsi" w:cs="Arial"/>
          <w:bCs/>
        </w:rPr>
        <w:t xml:space="preserve"> set of options and</w:t>
      </w:r>
      <w:r w:rsidR="007E25D5">
        <w:rPr>
          <w:rFonts w:asciiTheme="minorHAnsi" w:hAnsiTheme="minorHAnsi" w:cs="Arial"/>
          <w:bCs/>
        </w:rPr>
        <w:t xml:space="preserve"> recommendations. Instead, we offer some questions and criteria to consider. </w:t>
      </w:r>
      <w:r w:rsidR="00A30A61">
        <w:rPr>
          <w:rFonts w:asciiTheme="minorHAnsi" w:hAnsiTheme="minorHAnsi" w:cs="Arial"/>
          <w:bCs/>
        </w:rPr>
        <w:t>We might also decide that some of these regulatory environments are too much to include in this first version of the Joint Regional Agreement.</w:t>
      </w:r>
    </w:p>
    <w:p w:rsidR="00715AFD" w:rsidRDefault="00715AFD" w:rsidP="007E25D5">
      <w:pPr>
        <w:pStyle w:val="Default"/>
        <w:rPr>
          <w:rFonts w:asciiTheme="minorHAnsi" w:hAnsiTheme="minorHAnsi" w:cs="Arial"/>
          <w:bCs/>
        </w:rPr>
      </w:pPr>
    </w:p>
    <w:p w:rsidR="00715AFD" w:rsidRPr="007E25D5" w:rsidRDefault="007E25D5" w:rsidP="007E25D5">
      <w:pPr>
        <w:pStyle w:val="Default"/>
        <w:rPr>
          <w:rFonts w:asciiTheme="minorHAnsi" w:hAnsiTheme="minorHAnsi" w:cs="Arial"/>
          <w:b/>
          <w:bCs/>
        </w:rPr>
      </w:pPr>
      <w:r w:rsidRPr="007E25D5">
        <w:rPr>
          <w:rFonts w:asciiTheme="minorHAnsi" w:hAnsiTheme="minorHAnsi" w:cs="Arial"/>
          <w:b/>
          <w:bCs/>
        </w:rPr>
        <w:t xml:space="preserve">I. </w:t>
      </w:r>
      <w:r w:rsidR="00715AFD" w:rsidRPr="007E25D5">
        <w:rPr>
          <w:rFonts w:asciiTheme="minorHAnsi" w:hAnsiTheme="minorHAnsi" w:cs="Arial"/>
          <w:b/>
          <w:bCs/>
        </w:rPr>
        <w:t>Option</w:t>
      </w:r>
      <w:r w:rsidRPr="007E25D5">
        <w:rPr>
          <w:rFonts w:asciiTheme="minorHAnsi" w:hAnsiTheme="minorHAnsi" w:cs="Arial"/>
          <w:b/>
          <w:bCs/>
        </w:rPr>
        <w:t>s and examples</w:t>
      </w:r>
    </w:p>
    <w:p w:rsidR="00F519DF" w:rsidRPr="00F519DF" w:rsidRDefault="00D01D61" w:rsidP="00F519DF">
      <w:pPr>
        <w:pStyle w:val="Default"/>
        <w:spacing w:before="240" w:after="120"/>
        <w:rPr>
          <w:rFonts w:asciiTheme="minorHAnsi" w:hAnsiTheme="minorHAnsi" w:cs="Arial"/>
          <w:b/>
          <w:bCs/>
        </w:rPr>
      </w:pPr>
      <w:r>
        <w:rPr>
          <w:rFonts w:asciiTheme="minorHAnsi" w:hAnsiTheme="minorHAnsi" w:cs="Arial"/>
          <w:b/>
          <w:bCs/>
        </w:rPr>
        <w:t>a</w:t>
      </w:r>
      <w:r w:rsidR="00F519DF" w:rsidRPr="00F519DF">
        <w:rPr>
          <w:rFonts w:asciiTheme="minorHAnsi" w:hAnsiTheme="minorHAnsi" w:cs="Arial"/>
          <w:b/>
          <w:bCs/>
        </w:rPr>
        <w:t xml:space="preserve">. </w:t>
      </w:r>
      <w:r w:rsidR="007E25D5" w:rsidRPr="00F519DF">
        <w:rPr>
          <w:rFonts w:asciiTheme="minorHAnsi" w:hAnsiTheme="minorHAnsi" w:cs="Arial"/>
          <w:b/>
          <w:bCs/>
        </w:rPr>
        <w:t>NPDES permits underneath a TMDL</w:t>
      </w:r>
    </w:p>
    <w:p w:rsidR="00A723B8" w:rsidRPr="00F519DF" w:rsidRDefault="00A723B8" w:rsidP="00F519DF">
      <w:pPr>
        <w:pStyle w:val="Default"/>
        <w:spacing w:before="120" w:after="120"/>
        <w:rPr>
          <w:rFonts w:asciiTheme="minorHAnsi" w:hAnsiTheme="minorHAnsi" w:cs="Arial"/>
          <w:bCs/>
        </w:rPr>
      </w:pPr>
      <w:r w:rsidRPr="00C70410">
        <w:rPr>
          <w:rFonts w:asciiTheme="minorHAnsi" w:hAnsiTheme="minorHAnsi"/>
        </w:rPr>
        <w:lastRenderedPageBreak/>
        <w:t>Water quality trading can occur where a</w:t>
      </w:r>
      <w:r>
        <w:rPr>
          <w:rFonts w:asciiTheme="minorHAnsi" w:hAnsiTheme="minorHAnsi"/>
        </w:rPr>
        <w:t xml:space="preserve"> </w:t>
      </w:r>
      <w:r w:rsidRPr="00984BC2">
        <w:rPr>
          <w:rFonts w:asciiTheme="minorHAnsi" w:hAnsiTheme="minorHAnsi"/>
        </w:rPr>
        <w:t>TMDL</w:t>
      </w:r>
      <w:r w:rsidRPr="00C70410">
        <w:rPr>
          <w:rFonts w:asciiTheme="minorHAnsi" w:hAnsiTheme="minorHAnsi"/>
        </w:rPr>
        <w:t xml:space="preserve"> involving an eligible </w:t>
      </w:r>
      <w:r>
        <w:rPr>
          <w:rFonts w:asciiTheme="minorHAnsi" w:hAnsiTheme="minorHAnsi"/>
        </w:rPr>
        <w:t>pollutant</w:t>
      </w:r>
      <w:r w:rsidRPr="00C70410">
        <w:rPr>
          <w:rFonts w:asciiTheme="minorHAnsi" w:hAnsiTheme="minorHAnsi"/>
        </w:rPr>
        <w:t xml:space="preserve"> has been </w:t>
      </w:r>
      <w:r w:rsidR="004D570A">
        <w:rPr>
          <w:rFonts w:asciiTheme="minorHAnsi" w:hAnsiTheme="minorHAnsi"/>
        </w:rPr>
        <w:t>adopted by the state and approved by EPA</w:t>
      </w:r>
      <w:r w:rsidRPr="00C70410">
        <w:rPr>
          <w:rFonts w:asciiTheme="minorHAnsi" w:hAnsiTheme="minorHAnsi"/>
        </w:rPr>
        <w:t xml:space="preserve"> </w:t>
      </w:r>
      <w:r>
        <w:rPr>
          <w:rFonts w:asciiTheme="minorHAnsi" w:hAnsiTheme="minorHAnsi"/>
        </w:rPr>
        <w:t>for the appropriate geographic area, and the regulator</w:t>
      </w:r>
      <w:r w:rsidR="007E25D5">
        <w:rPr>
          <w:rFonts w:asciiTheme="minorHAnsi" w:hAnsiTheme="minorHAnsi"/>
        </w:rPr>
        <w:t>y agency</w:t>
      </w:r>
      <w:r>
        <w:rPr>
          <w:rFonts w:asciiTheme="minorHAnsi" w:hAnsiTheme="minorHAnsi"/>
        </w:rPr>
        <w:t xml:space="preserve"> is issuing </w:t>
      </w:r>
      <w:r w:rsidRPr="00C70410">
        <w:rPr>
          <w:rFonts w:asciiTheme="minorHAnsi" w:hAnsiTheme="minorHAnsi"/>
        </w:rPr>
        <w:t>NPDES permits</w:t>
      </w:r>
      <w:r w:rsidR="008E06B8">
        <w:rPr>
          <w:rFonts w:asciiTheme="minorHAnsi" w:hAnsiTheme="minorHAnsi"/>
        </w:rPr>
        <w:t xml:space="preserve"> to point sources</w:t>
      </w:r>
      <w:r w:rsidRPr="00C70410">
        <w:rPr>
          <w:rFonts w:asciiTheme="minorHAnsi" w:hAnsiTheme="minorHAnsi"/>
        </w:rPr>
        <w:t xml:space="preserve"> based on the </w:t>
      </w:r>
      <w:r w:rsidR="008E06B8">
        <w:rPr>
          <w:rFonts w:asciiTheme="minorHAnsi" w:hAnsiTheme="minorHAnsi"/>
        </w:rPr>
        <w:t xml:space="preserve">TMDL’s </w:t>
      </w:r>
      <w:r w:rsidR="004D570A">
        <w:rPr>
          <w:rFonts w:asciiTheme="minorHAnsi" w:hAnsiTheme="minorHAnsi"/>
        </w:rPr>
        <w:t xml:space="preserve">waste load </w:t>
      </w:r>
      <w:r w:rsidRPr="00C70410">
        <w:rPr>
          <w:rFonts w:asciiTheme="minorHAnsi" w:hAnsiTheme="minorHAnsi"/>
        </w:rPr>
        <w:t>allocations</w:t>
      </w:r>
      <w:r>
        <w:rPr>
          <w:rFonts w:asciiTheme="minorHAnsi" w:hAnsiTheme="minorHAnsi"/>
        </w:rPr>
        <w:t xml:space="preserve"> </w:t>
      </w:r>
    </w:p>
    <w:p w:rsidR="008E06B8" w:rsidRDefault="00362530" w:rsidP="00F519DF">
      <w:pPr>
        <w:pStyle w:val="Default"/>
        <w:spacing w:before="240" w:after="120"/>
        <w:ind w:left="360"/>
        <w:rPr>
          <w:rFonts w:asciiTheme="minorHAnsi" w:hAnsiTheme="minorHAnsi" w:cs="Arial"/>
          <w:bCs/>
        </w:rPr>
      </w:pPr>
      <w:r w:rsidRPr="00F519DF">
        <w:rPr>
          <w:rFonts w:asciiTheme="minorHAnsi" w:hAnsiTheme="minorHAnsi" w:cs="Arial"/>
          <w:bCs/>
          <w:u w:val="single"/>
        </w:rPr>
        <w:t>Questions to consider</w:t>
      </w:r>
      <w:r w:rsidR="00F519DF" w:rsidRPr="00F519DF">
        <w:rPr>
          <w:rFonts w:asciiTheme="minorHAnsi" w:hAnsiTheme="minorHAnsi" w:cs="Arial"/>
          <w:bCs/>
        </w:rPr>
        <w:t>:</w:t>
      </w:r>
      <w:r w:rsidR="00F519DF">
        <w:rPr>
          <w:rFonts w:asciiTheme="minorHAnsi" w:hAnsiTheme="minorHAnsi" w:cs="Arial"/>
          <w:bCs/>
        </w:rPr>
        <w:t xml:space="preserve">  </w:t>
      </w:r>
    </w:p>
    <w:p w:rsidR="008E06B8" w:rsidRDefault="00624CFF" w:rsidP="008E06B8">
      <w:pPr>
        <w:pStyle w:val="Default"/>
        <w:numPr>
          <w:ilvl w:val="0"/>
          <w:numId w:val="38"/>
        </w:numPr>
        <w:spacing w:before="120" w:after="120"/>
        <w:rPr>
          <w:rFonts w:asciiTheme="minorHAnsi" w:hAnsiTheme="minorHAnsi"/>
        </w:rPr>
      </w:pPr>
      <w:r>
        <w:rPr>
          <w:rFonts w:asciiTheme="minorHAnsi" w:hAnsiTheme="minorHAnsi"/>
        </w:rPr>
        <w:t xml:space="preserve">What other criteria should be applied to determine whether trading is appropriate under a TMDL environment (e.g. waste load and load allocations given to all sources; at least one point source in the watershed with an interest in trading, clear articulation of reasonable assurances for nonpoint sources; etc.)? </w:t>
      </w:r>
    </w:p>
    <w:p w:rsidR="008E06B8" w:rsidRDefault="00624CFF" w:rsidP="008E06B8">
      <w:pPr>
        <w:pStyle w:val="Default"/>
        <w:numPr>
          <w:ilvl w:val="0"/>
          <w:numId w:val="38"/>
        </w:numPr>
        <w:spacing w:before="120" w:after="120"/>
        <w:rPr>
          <w:rFonts w:asciiTheme="minorHAnsi" w:hAnsiTheme="minorHAnsi"/>
        </w:rPr>
      </w:pPr>
      <w:r>
        <w:rPr>
          <w:rFonts w:asciiTheme="minorHAnsi" w:hAnsiTheme="minorHAnsi"/>
        </w:rPr>
        <w:t xml:space="preserve">What other basic conditions need to be met for trading to occur in a TMDL environment (e.g. documentation in permit evaluation report, language authorizing trading is included in the TMDL and the permit)? </w:t>
      </w:r>
    </w:p>
    <w:p w:rsidR="007E25D5" w:rsidRPr="00F519DF" w:rsidRDefault="00624CFF" w:rsidP="008E06B8">
      <w:pPr>
        <w:pStyle w:val="Default"/>
        <w:numPr>
          <w:ilvl w:val="0"/>
          <w:numId w:val="38"/>
        </w:numPr>
        <w:spacing w:before="120" w:after="120"/>
        <w:rPr>
          <w:rFonts w:asciiTheme="minorHAnsi" w:hAnsiTheme="minorHAnsi" w:cs="Arial"/>
          <w:bCs/>
          <w:u w:val="single"/>
        </w:rPr>
      </w:pPr>
      <w:r>
        <w:rPr>
          <w:rFonts w:asciiTheme="minorHAnsi" w:hAnsiTheme="minorHAnsi"/>
        </w:rPr>
        <w:t>Status and timing of a proposed TMDL (e.g., how soon the draft TMDL will be completed and submitted to EPA for approval)?</w:t>
      </w:r>
    </w:p>
    <w:p w:rsidR="00A723B8" w:rsidRDefault="00362530" w:rsidP="00F519DF">
      <w:pPr>
        <w:pStyle w:val="Default"/>
        <w:spacing w:before="240" w:after="120"/>
        <w:ind w:left="360"/>
        <w:rPr>
          <w:rFonts w:asciiTheme="minorHAnsi" w:hAnsiTheme="minorHAnsi"/>
        </w:rPr>
      </w:pPr>
      <w:r w:rsidRPr="00F519DF">
        <w:rPr>
          <w:rFonts w:asciiTheme="minorHAnsi" w:hAnsiTheme="minorHAnsi" w:cs="Arial"/>
          <w:bCs/>
          <w:u w:val="single"/>
        </w:rPr>
        <w:t>Potential state differences</w:t>
      </w:r>
      <w:r w:rsidR="00F519DF" w:rsidRPr="00F519DF">
        <w:rPr>
          <w:rFonts w:asciiTheme="minorHAnsi" w:hAnsiTheme="minorHAnsi" w:cs="Arial"/>
          <w:bCs/>
        </w:rPr>
        <w:t xml:space="preserve">: </w:t>
      </w:r>
      <w:r w:rsidR="007E25D5">
        <w:rPr>
          <w:rFonts w:asciiTheme="minorHAnsi" w:hAnsiTheme="minorHAnsi"/>
        </w:rPr>
        <w:t>It is not clear whether there are major state differences for trading under a TMDL</w:t>
      </w:r>
      <w:r w:rsidR="00D21316">
        <w:rPr>
          <w:rFonts w:asciiTheme="minorHAnsi" w:hAnsiTheme="minorHAnsi"/>
        </w:rPr>
        <w:t>.</w:t>
      </w:r>
    </w:p>
    <w:p w:rsidR="00F519DF" w:rsidRPr="00F519DF" w:rsidRDefault="00D01D61" w:rsidP="00F519DF">
      <w:pPr>
        <w:pStyle w:val="Default"/>
        <w:spacing w:before="360" w:after="120"/>
        <w:rPr>
          <w:rFonts w:asciiTheme="minorHAnsi" w:hAnsiTheme="minorHAnsi" w:cs="Arial"/>
          <w:b/>
          <w:bCs/>
        </w:rPr>
      </w:pPr>
      <w:r>
        <w:rPr>
          <w:rFonts w:asciiTheme="minorHAnsi" w:hAnsiTheme="minorHAnsi" w:cs="Arial"/>
          <w:b/>
          <w:bCs/>
        </w:rPr>
        <w:t>b</w:t>
      </w:r>
      <w:r w:rsidR="00D21316" w:rsidRPr="00F519DF">
        <w:rPr>
          <w:rFonts w:asciiTheme="minorHAnsi" w:hAnsiTheme="minorHAnsi" w:cs="Arial"/>
          <w:b/>
          <w:bCs/>
        </w:rPr>
        <w:t xml:space="preserve">. NPDES permits </w:t>
      </w:r>
      <w:r w:rsidR="00624CFF">
        <w:rPr>
          <w:rFonts w:asciiTheme="minorHAnsi" w:hAnsiTheme="minorHAnsi" w:cs="Arial"/>
          <w:b/>
          <w:bCs/>
        </w:rPr>
        <w:t>without</w:t>
      </w:r>
      <w:r w:rsidR="00D21316" w:rsidRPr="00F519DF">
        <w:rPr>
          <w:rFonts w:asciiTheme="minorHAnsi" w:hAnsiTheme="minorHAnsi" w:cs="Arial"/>
          <w:b/>
          <w:bCs/>
        </w:rPr>
        <w:t xml:space="preserve"> a TMDL</w:t>
      </w:r>
    </w:p>
    <w:p w:rsidR="00D21316" w:rsidRDefault="00D21316" w:rsidP="00D21316">
      <w:pPr>
        <w:pStyle w:val="Default"/>
        <w:rPr>
          <w:rFonts w:asciiTheme="minorHAnsi" w:hAnsiTheme="minorHAnsi"/>
        </w:rPr>
      </w:pPr>
      <w:r>
        <w:rPr>
          <w:rFonts w:asciiTheme="minorHAnsi" w:hAnsiTheme="minorHAnsi"/>
        </w:rPr>
        <w:t xml:space="preserve">Trading </w:t>
      </w:r>
      <w:r w:rsidR="00624CFF">
        <w:rPr>
          <w:rFonts w:asciiTheme="minorHAnsi" w:hAnsiTheme="minorHAnsi"/>
        </w:rPr>
        <w:t>without</w:t>
      </w:r>
      <w:r w:rsidR="008E06B8">
        <w:rPr>
          <w:rFonts w:asciiTheme="minorHAnsi" w:hAnsiTheme="minorHAnsi"/>
        </w:rPr>
        <w:t xml:space="preserve"> </w:t>
      </w:r>
      <w:r>
        <w:rPr>
          <w:rFonts w:asciiTheme="minorHAnsi" w:hAnsiTheme="minorHAnsi"/>
        </w:rPr>
        <w:t xml:space="preserve">a TMDL can be more challenging. A number of states and NPDES permittees are interested in these kinds of trades. </w:t>
      </w:r>
      <w:r w:rsidR="00D01D61">
        <w:rPr>
          <w:rFonts w:asciiTheme="minorHAnsi" w:hAnsiTheme="minorHAnsi"/>
        </w:rPr>
        <w:t>The pace of issuing new TMDLs is slowing. There will be growing demand for these kinds of trades, but there is less policy and guidance on how to incorporate these trades into NPDES permits.</w:t>
      </w:r>
    </w:p>
    <w:p w:rsidR="008E06B8" w:rsidRDefault="00F519DF" w:rsidP="004D570A">
      <w:pPr>
        <w:pStyle w:val="Default"/>
        <w:spacing w:before="240" w:after="120"/>
        <w:ind w:left="360"/>
        <w:rPr>
          <w:rFonts w:asciiTheme="minorHAnsi" w:hAnsiTheme="minorHAnsi" w:cs="Arial"/>
          <w:bCs/>
          <w:u w:val="single"/>
        </w:rPr>
      </w:pPr>
      <w:r w:rsidRPr="00F519DF">
        <w:rPr>
          <w:rFonts w:asciiTheme="minorHAnsi" w:hAnsiTheme="minorHAnsi" w:cs="Arial"/>
          <w:bCs/>
          <w:u w:val="single"/>
        </w:rPr>
        <w:t>Questions to consider</w:t>
      </w:r>
      <w:r>
        <w:rPr>
          <w:rFonts w:asciiTheme="minorHAnsi" w:hAnsiTheme="minorHAnsi" w:cs="Arial"/>
          <w:bCs/>
          <w:u w:val="single"/>
        </w:rPr>
        <w:t xml:space="preserve">: </w:t>
      </w:r>
      <w:r w:rsidR="004D570A" w:rsidRPr="00F519DF">
        <w:rPr>
          <w:rFonts w:asciiTheme="minorHAnsi" w:hAnsiTheme="minorHAnsi" w:cs="Arial"/>
          <w:bCs/>
          <w:u w:val="single"/>
        </w:rPr>
        <w:t>Questions to consider</w:t>
      </w:r>
      <w:r w:rsidR="004D570A">
        <w:rPr>
          <w:rFonts w:asciiTheme="minorHAnsi" w:hAnsiTheme="minorHAnsi" w:cs="Arial"/>
          <w:bCs/>
          <w:u w:val="single"/>
        </w:rPr>
        <w:t xml:space="preserve">: </w:t>
      </w:r>
    </w:p>
    <w:p w:rsidR="008E06B8" w:rsidRDefault="004D570A" w:rsidP="008E06B8">
      <w:pPr>
        <w:pStyle w:val="Default"/>
        <w:numPr>
          <w:ilvl w:val="0"/>
          <w:numId w:val="39"/>
        </w:numPr>
        <w:spacing w:before="120" w:after="120"/>
        <w:rPr>
          <w:rFonts w:asciiTheme="minorHAnsi" w:hAnsiTheme="minorHAnsi"/>
        </w:rPr>
      </w:pPr>
      <w:r>
        <w:rPr>
          <w:rFonts w:asciiTheme="minorHAnsi" w:hAnsiTheme="minorHAnsi"/>
        </w:rPr>
        <w:t xml:space="preserve">What information is needed to allow trades without a TMDL? (e.g. TMDL-like modeling to assign loads to all sources, data on proposed project or BMP effectiveness in reducing the pollutant)?  Who is responsible for collecting and providing the information?  </w:t>
      </w:r>
    </w:p>
    <w:p w:rsidR="008E06B8" w:rsidRDefault="004D570A" w:rsidP="008E06B8">
      <w:pPr>
        <w:pStyle w:val="Default"/>
        <w:numPr>
          <w:ilvl w:val="0"/>
          <w:numId w:val="39"/>
        </w:numPr>
        <w:spacing w:before="120" w:after="120"/>
        <w:rPr>
          <w:rFonts w:asciiTheme="minorHAnsi" w:hAnsiTheme="minorHAnsi"/>
        </w:rPr>
      </w:pPr>
      <w:r>
        <w:rPr>
          <w:rFonts w:asciiTheme="minorHAnsi" w:hAnsiTheme="minorHAnsi"/>
        </w:rPr>
        <w:t>What provisions are needed besides what goes in the permit (</w:t>
      </w:r>
      <w:r w:rsidR="007D2CEE">
        <w:rPr>
          <w:rFonts w:asciiTheme="minorHAnsi" w:hAnsiTheme="minorHAnsi"/>
        </w:rPr>
        <w:t>e.g. assurances</w:t>
      </w:r>
      <w:r>
        <w:rPr>
          <w:rFonts w:asciiTheme="minorHAnsi" w:hAnsiTheme="minorHAnsi"/>
        </w:rPr>
        <w:t xml:space="preserve"> to the point source that actions taken now will count later if a TMDL is approved, etc.)</w:t>
      </w:r>
      <w:r w:rsidR="007D2CEE">
        <w:rPr>
          <w:rFonts w:asciiTheme="minorHAnsi" w:hAnsiTheme="minorHAnsi"/>
        </w:rPr>
        <w:t>?</w:t>
      </w:r>
      <w:r>
        <w:rPr>
          <w:rFonts w:asciiTheme="minorHAnsi" w:hAnsiTheme="minorHAnsi"/>
        </w:rPr>
        <w:t xml:space="preserve">  </w:t>
      </w:r>
    </w:p>
    <w:p w:rsidR="004D570A" w:rsidRPr="00F519DF" w:rsidRDefault="004D570A" w:rsidP="008E06B8">
      <w:pPr>
        <w:pStyle w:val="Default"/>
        <w:numPr>
          <w:ilvl w:val="0"/>
          <w:numId w:val="39"/>
        </w:numPr>
        <w:spacing w:before="120" w:after="120"/>
        <w:rPr>
          <w:rFonts w:asciiTheme="minorHAnsi" w:hAnsiTheme="minorHAnsi" w:cs="Arial"/>
          <w:bCs/>
          <w:u w:val="single"/>
        </w:rPr>
      </w:pPr>
      <w:r>
        <w:rPr>
          <w:rFonts w:asciiTheme="minorHAnsi" w:hAnsiTheme="minorHAnsi"/>
        </w:rPr>
        <w:t xml:space="preserve">What are valid reasons to consider a trade without a TMDL (e.g., new or revised limit in an NPDES permit, opportunity to achieve significant reductions in a more important segment than where the point source is </w:t>
      </w:r>
      <w:r w:rsidR="007D2CEE">
        <w:rPr>
          <w:rFonts w:asciiTheme="minorHAnsi" w:hAnsiTheme="minorHAnsi"/>
        </w:rPr>
        <w:t>located, achievement</w:t>
      </w:r>
      <w:r>
        <w:rPr>
          <w:rFonts w:asciiTheme="minorHAnsi" w:hAnsiTheme="minorHAnsi"/>
        </w:rPr>
        <w:t xml:space="preserve"> of a significant net environmental benefit while also providing cost savings to the point source)</w:t>
      </w:r>
      <w:r w:rsidR="007D2CEE">
        <w:rPr>
          <w:rFonts w:asciiTheme="minorHAnsi" w:hAnsiTheme="minorHAnsi"/>
        </w:rPr>
        <w:t>?</w:t>
      </w:r>
    </w:p>
    <w:p w:rsidR="00D21316" w:rsidRDefault="00F519DF" w:rsidP="00F519DF">
      <w:pPr>
        <w:pStyle w:val="Default"/>
        <w:spacing w:before="240" w:after="120"/>
        <w:ind w:left="360"/>
        <w:rPr>
          <w:rFonts w:asciiTheme="minorHAnsi" w:hAnsiTheme="minorHAnsi"/>
        </w:rPr>
      </w:pPr>
      <w:r>
        <w:rPr>
          <w:rFonts w:asciiTheme="minorHAnsi" w:hAnsiTheme="minorHAnsi" w:cs="Arial"/>
          <w:bCs/>
          <w:u w:val="single"/>
        </w:rPr>
        <w:t>Potential state differences</w:t>
      </w:r>
      <w:r w:rsidR="00D21316" w:rsidRPr="00F519DF">
        <w:rPr>
          <w:rFonts w:asciiTheme="minorHAnsi" w:hAnsiTheme="minorHAnsi" w:cs="Arial"/>
          <w:bCs/>
          <w:u w:val="single"/>
        </w:rPr>
        <w:t>:</w:t>
      </w:r>
      <w:r w:rsidR="00D21316">
        <w:rPr>
          <w:rFonts w:asciiTheme="minorHAnsi" w:hAnsiTheme="minorHAnsi"/>
        </w:rPr>
        <w:t xml:space="preserve"> We anticipate several differences across states in how trades occur outside of a TMDL context. Several states outside of Region 10 are considering statewide nutrient criteria which could drive trading. </w:t>
      </w:r>
    </w:p>
    <w:p w:rsidR="00F519DF" w:rsidRDefault="00F519DF" w:rsidP="00F519DF">
      <w:pPr>
        <w:pStyle w:val="Default"/>
        <w:spacing w:before="360" w:after="120"/>
        <w:rPr>
          <w:rFonts w:asciiTheme="minorHAnsi" w:hAnsiTheme="minorHAnsi" w:cs="Arial"/>
          <w:bCs/>
        </w:rPr>
      </w:pPr>
      <w:r>
        <w:rPr>
          <w:rFonts w:asciiTheme="minorHAnsi" w:hAnsiTheme="minorHAnsi" w:cs="Arial"/>
          <w:b/>
          <w:bCs/>
        </w:rPr>
        <w:t>c</w:t>
      </w:r>
      <w:r w:rsidR="00D21316" w:rsidRPr="00F519DF">
        <w:rPr>
          <w:rFonts w:asciiTheme="minorHAnsi" w:hAnsiTheme="minorHAnsi" w:cs="Arial"/>
          <w:b/>
          <w:bCs/>
        </w:rPr>
        <w:t>. NPDES permits under a variance from water quality standards.</w:t>
      </w:r>
      <w:r w:rsidR="00D21316">
        <w:rPr>
          <w:rFonts w:asciiTheme="minorHAnsi" w:hAnsiTheme="minorHAnsi" w:cs="Arial"/>
          <w:bCs/>
        </w:rPr>
        <w:t xml:space="preserve"> </w:t>
      </w:r>
    </w:p>
    <w:p w:rsidR="00D21316" w:rsidRDefault="005363E5" w:rsidP="005363E5">
      <w:pPr>
        <w:pStyle w:val="Default"/>
        <w:rPr>
          <w:rFonts w:asciiTheme="minorHAnsi" w:hAnsiTheme="minorHAnsi" w:cs="Arial"/>
          <w:bCs/>
        </w:rPr>
      </w:pPr>
      <w:r>
        <w:rPr>
          <w:rFonts w:asciiTheme="minorHAnsi" w:hAnsiTheme="minorHAnsi" w:cs="Arial"/>
          <w:bCs/>
        </w:rPr>
        <w:t>Typically, i</w:t>
      </w:r>
      <w:r w:rsidRPr="005363E5">
        <w:rPr>
          <w:rFonts w:asciiTheme="minorHAnsi" w:hAnsiTheme="minorHAnsi" w:cs="Arial"/>
          <w:bCs/>
        </w:rPr>
        <w:t>f a regulated facility</w:t>
      </w:r>
      <w:r>
        <w:rPr>
          <w:rFonts w:asciiTheme="minorHAnsi" w:hAnsiTheme="minorHAnsi" w:cs="Arial"/>
          <w:bCs/>
        </w:rPr>
        <w:t xml:space="preserve"> </w:t>
      </w:r>
      <w:r w:rsidRPr="005363E5">
        <w:rPr>
          <w:rFonts w:asciiTheme="minorHAnsi" w:hAnsiTheme="minorHAnsi" w:cs="Arial"/>
          <w:bCs/>
        </w:rPr>
        <w:t>demonstrates that it is unable to comply with water quality standards through the</w:t>
      </w:r>
      <w:r>
        <w:rPr>
          <w:rFonts w:asciiTheme="minorHAnsi" w:hAnsiTheme="minorHAnsi" w:cs="Arial"/>
          <w:bCs/>
        </w:rPr>
        <w:t xml:space="preserve"> </w:t>
      </w:r>
      <w:r w:rsidRPr="005363E5">
        <w:rPr>
          <w:rFonts w:asciiTheme="minorHAnsi" w:hAnsiTheme="minorHAnsi" w:cs="Arial"/>
          <w:bCs/>
        </w:rPr>
        <w:t>implementation of the highest level of technological control required, the entity</w:t>
      </w:r>
      <w:r>
        <w:rPr>
          <w:rFonts w:asciiTheme="minorHAnsi" w:hAnsiTheme="minorHAnsi" w:cs="Arial"/>
          <w:bCs/>
        </w:rPr>
        <w:t xml:space="preserve"> </w:t>
      </w:r>
      <w:r w:rsidRPr="005363E5">
        <w:rPr>
          <w:rFonts w:asciiTheme="minorHAnsi" w:hAnsiTheme="minorHAnsi" w:cs="Arial"/>
          <w:bCs/>
        </w:rPr>
        <w:t>may seek a variance, which becomes the new applicable standard for the facility,</w:t>
      </w:r>
      <w:r>
        <w:rPr>
          <w:rFonts w:asciiTheme="minorHAnsi" w:hAnsiTheme="minorHAnsi" w:cs="Arial"/>
          <w:bCs/>
        </w:rPr>
        <w:t xml:space="preserve"> </w:t>
      </w:r>
      <w:r w:rsidRPr="005363E5">
        <w:rPr>
          <w:rFonts w:asciiTheme="minorHAnsi" w:hAnsiTheme="minorHAnsi" w:cs="Arial"/>
          <w:bCs/>
        </w:rPr>
        <w:t xml:space="preserve">with approval subject to </w:t>
      </w:r>
      <w:r w:rsidRPr="005363E5">
        <w:rPr>
          <w:rFonts w:asciiTheme="minorHAnsi" w:hAnsiTheme="minorHAnsi" w:cs="Arial"/>
          <w:bCs/>
        </w:rPr>
        <w:lastRenderedPageBreak/>
        <w:t>implementation of a plan to reduce the relevant pollutant</w:t>
      </w:r>
      <w:r>
        <w:rPr>
          <w:rFonts w:asciiTheme="minorHAnsi" w:hAnsiTheme="minorHAnsi" w:cs="Arial"/>
          <w:bCs/>
        </w:rPr>
        <w:t xml:space="preserve"> </w:t>
      </w:r>
      <w:r w:rsidRPr="005363E5">
        <w:rPr>
          <w:rFonts w:asciiTheme="minorHAnsi" w:hAnsiTheme="minorHAnsi" w:cs="Arial"/>
          <w:bCs/>
        </w:rPr>
        <w:t>within the watershed.</w:t>
      </w:r>
      <w:r>
        <w:rPr>
          <w:rFonts w:asciiTheme="minorHAnsi" w:hAnsiTheme="minorHAnsi" w:cs="Arial"/>
          <w:bCs/>
        </w:rPr>
        <w:t xml:space="preserve"> </w:t>
      </w:r>
      <w:r w:rsidR="004D570A">
        <w:rPr>
          <w:rFonts w:asciiTheme="minorHAnsi" w:hAnsiTheme="minorHAnsi" w:cs="Arial"/>
          <w:bCs/>
        </w:rPr>
        <w:t>OAR-340-41</w:t>
      </w:r>
      <w:r w:rsidR="008E06B8">
        <w:rPr>
          <w:rFonts w:asciiTheme="minorHAnsi" w:hAnsiTheme="minorHAnsi" w:cs="Arial"/>
          <w:bCs/>
        </w:rPr>
        <w:t xml:space="preserve"> provides rule on variances for Oregon. </w:t>
      </w:r>
      <w:r w:rsidR="00D21316">
        <w:rPr>
          <w:rFonts w:asciiTheme="minorHAnsi" w:hAnsiTheme="minorHAnsi" w:cs="Arial"/>
          <w:bCs/>
        </w:rPr>
        <w:t xml:space="preserve">Montana’s new state trading policy explicitly allows for a 20-year variance from water quality standards if a permittee uses trading to offset its loads under potential statewide nutrient criteria. </w:t>
      </w:r>
    </w:p>
    <w:p w:rsidR="00D21316" w:rsidRPr="00F519DF" w:rsidRDefault="00F519DF" w:rsidP="00F519DF">
      <w:pPr>
        <w:pStyle w:val="Default"/>
        <w:spacing w:before="240" w:after="120"/>
        <w:ind w:left="360"/>
        <w:rPr>
          <w:rFonts w:asciiTheme="minorHAnsi" w:hAnsiTheme="minorHAnsi" w:cs="Arial"/>
          <w:bCs/>
          <w:u w:val="single"/>
        </w:rPr>
      </w:pPr>
      <w:r w:rsidRPr="00F519DF">
        <w:rPr>
          <w:rFonts w:asciiTheme="minorHAnsi" w:hAnsiTheme="minorHAnsi" w:cs="Arial"/>
          <w:bCs/>
          <w:u w:val="single"/>
        </w:rPr>
        <w:t>Questions to consider</w:t>
      </w:r>
      <w:r w:rsidRPr="00F519DF">
        <w:rPr>
          <w:rFonts w:asciiTheme="minorHAnsi" w:hAnsiTheme="minorHAnsi" w:cs="Arial"/>
          <w:bCs/>
        </w:rPr>
        <w:t xml:space="preserve">: </w:t>
      </w:r>
      <w:r w:rsidR="00D21316" w:rsidRPr="00F519DF">
        <w:rPr>
          <w:rFonts w:asciiTheme="minorHAnsi" w:hAnsiTheme="minorHAnsi" w:cs="Arial"/>
          <w:bCs/>
        </w:rPr>
        <w:t>U</w:t>
      </w:r>
      <w:r w:rsidR="00D21316">
        <w:rPr>
          <w:rFonts w:asciiTheme="minorHAnsi" w:hAnsiTheme="minorHAnsi" w:cs="Arial"/>
          <w:bCs/>
        </w:rPr>
        <w:t>nder which situations are variances not appropriate, and where might they be a useful tool?</w:t>
      </w:r>
    </w:p>
    <w:p w:rsidR="00D21316" w:rsidRDefault="00F519DF" w:rsidP="0001448E">
      <w:pPr>
        <w:pStyle w:val="Default"/>
        <w:spacing w:before="240" w:after="120"/>
        <w:ind w:left="360"/>
        <w:rPr>
          <w:rFonts w:asciiTheme="minorHAnsi" w:hAnsiTheme="minorHAnsi"/>
          <w:b/>
          <w:i/>
        </w:rPr>
      </w:pPr>
      <w:r>
        <w:rPr>
          <w:rFonts w:asciiTheme="minorHAnsi" w:hAnsiTheme="minorHAnsi" w:cs="Arial"/>
          <w:bCs/>
          <w:u w:val="single"/>
        </w:rPr>
        <w:t>Potential state differences:</w:t>
      </w:r>
      <w:r w:rsidR="00D21316">
        <w:rPr>
          <w:rFonts w:asciiTheme="minorHAnsi" w:hAnsiTheme="minorHAnsi" w:cs="Arial"/>
          <w:bCs/>
        </w:rPr>
        <w:t xml:space="preserve"> We anticipate several differences in applying variances across states.</w:t>
      </w:r>
      <w:r w:rsidR="0001448E">
        <w:rPr>
          <w:rFonts w:asciiTheme="minorHAnsi" w:hAnsiTheme="minorHAnsi" w:cs="Arial"/>
          <w:bCs/>
        </w:rPr>
        <w:t xml:space="preserve"> Oregon has language in r</w:t>
      </w:r>
      <w:r w:rsidR="008E06B8">
        <w:rPr>
          <w:rFonts w:asciiTheme="minorHAnsi" w:hAnsiTheme="minorHAnsi" w:cs="Arial"/>
          <w:bCs/>
        </w:rPr>
        <w:t>ule dealing with variances (OAR-340-</w:t>
      </w:r>
      <w:r w:rsidR="0001448E">
        <w:rPr>
          <w:rFonts w:asciiTheme="minorHAnsi" w:hAnsiTheme="minorHAnsi" w:cs="Arial"/>
          <w:bCs/>
        </w:rPr>
        <w:t>41), but we aren’t aware of how other states approach this.</w:t>
      </w:r>
    </w:p>
    <w:p w:rsidR="00F519DF" w:rsidRDefault="00F519DF" w:rsidP="00F519DF">
      <w:pPr>
        <w:pStyle w:val="Default"/>
        <w:spacing w:before="360" w:after="120"/>
        <w:rPr>
          <w:rFonts w:asciiTheme="minorHAnsi" w:hAnsiTheme="minorHAnsi"/>
        </w:rPr>
      </w:pPr>
      <w:r>
        <w:rPr>
          <w:rFonts w:asciiTheme="minorHAnsi" w:hAnsiTheme="minorHAnsi" w:cs="Arial"/>
          <w:b/>
          <w:bCs/>
        </w:rPr>
        <w:t>d</w:t>
      </w:r>
      <w:r w:rsidR="00D21316" w:rsidRPr="00F519DF">
        <w:rPr>
          <w:rFonts w:asciiTheme="minorHAnsi" w:hAnsiTheme="minorHAnsi" w:cs="Arial"/>
          <w:b/>
          <w:bCs/>
        </w:rPr>
        <w:t>. Section 401 Certifications</w:t>
      </w:r>
      <w:r w:rsidR="00D21316">
        <w:rPr>
          <w:rFonts w:asciiTheme="minorHAnsi" w:hAnsiTheme="minorHAnsi"/>
        </w:rPr>
        <w:t xml:space="preserve">. </w:t>
      </w:r>
    </w:p>
    <w:p w:rsidR="00A723B8" w:rsidRDefault="00A30A61" w:rsidP="00A30A61">
      <w:pPr>
        <w:pStyle w:val="Default"/>
        <w:rPr>
          <w:rFonts w:asciiTheme="minorHAnsi" w:hAnsiTheme="minorHAnsi"/>
        </w:rPr>
      </w:pPr>
      <w:r>
        <w:rPr>
          <w:rFonts w:asciiTheme="minorHAnsi" w:hAnsiTheme="minorHAnsi"/>
        </w:rPr>
        <w:t>Offsets have often been part of 401 certifications, particularly tied to hydropowe</w:t>
      </w:r>
      <w:r w:rsidR="00D01D61">
        <w:rPr>
          <w:rFonts w:asciiTheme="minorHAnsi" w:hAnsiTheme="minorHAnsi"/>
        </w:rPr>
        <w:t xml:space="preserve">r </w:t>
      </w:r>
      <w:r>
        <w:rPr>
          <w:rFonts w:asciiTheme="minorHAnsi" w:hAnsiTheme="minorHAnsi"/>
        </w:rPr>
        <w:t xml:space="preserve">relicensing. </w:t>
      </w:r>
      <w:r w:rsidR="00A723B8" w:rsidRPr="00C70410">
        <w:rPr>
          <w:rFonts w:asciiTheme="minorHAnsi" w:hAnsiTheme="minorHAnsi"/>
        </w:rPr>
        <w:t>Water qu</w:t>
      </w:r>
      <w:r w:rsidR="00A723B8">
        <w:rPr>
          <w:rFonts w:asciiTheme="minorHAnsi" w:hAnsiTheme="minorHAnsi"/>
        </w:rPr>
        <w:t xml:space="preserve">ality trading can occur in conjunction with state certification of federal permits and licenses, consistent with section 401 of the Clean Water Act, 33 U.S.C. § 1341. </w:t>
      </w:r>
    </w:p>
    <w:p w:rsidR="00A30A61" w:rsidRPr="00F519DF" w:rsidRDefault="00F519DF" w:rsidP="00F519DF">
      <w:pPr>
        <w:pStyle w:val="Default"/>
        <w:spacing w:before="240" w:after="120"/>
        <w:ind w:left="360"/>
        <w:rPr>
          <w:rFonts w:asciiTheme="minorHAnsi" w:hAnsiTheme="minorHAnsi" w:cs="Arial"/>
          <w:bCs/>
          <w:u w:val="single"/>
        </w:rPr>
      </w:pPr>
      <w:r w:rsidRPr="00F519DF">
        <w:rPr>
          <w:rFonts w:asciiTheme="minorHAnsi" w:hAnsiTheme="minorHAnsi" w:cs="Arial"/>
          <w:bCs/>
          <w:u w:val="single"/>
        </w:rPr>
        <w:t>Questions to consider:</w:t>
      </w:r>
      <w:r>
        <w:rPr>
          <w:rFonts w:asciiTheme="minorHAnsi" w:hAnsiTheme="minorHAnsi" w:cs="Arial"/>
          <w:bCs/>
        </w:rPr>
        <w:t xml:space="preserve"> </w:t>
      </w:r>
      <w:r w:rsidR="00A30A61" w:rsidRPr="00F519DF">
        <w:rPr>
          <w:rFonts w:asciiTheme="minorHAnsi" w:hAnsiTheme="minorHAnsi"/>
        </w:rPr>
        <w:t>Under</w:t>
      </w:r>
      <w:r w:rsidR="00A30A61">
        <w:rPr>
          <w:rFonts w:asciiTheme="minorHAnsi" w:hAnsiTheme="minorHAnsi"/>
        </w:rPr>
        <w:t xml:space="preserve"> which situations is trading appropriate, and where is it not? What </w:t>
      </w:r>
      <w:r w:rsidR="008E06B8">
        <w:rPr>
          <w:rFonts w:asciiTheme="minorHAnsi" w:hAnsiTheme="minorHAnsi"/>
        </w:rPr>
        <w:t>is</w:t>
      </w:r>
      <w:r w:rsidR="00A30A61">
        <w:rPr>
          <w:rFonts w:asciiTheme="minorHAnsi" w:hAnsiTheme="minorHAnsi"/>
        </w:rPr>
        <w:t xml:space="preserve"> different about 401 certifications that </w:t>
      </w:r>
      <w:r w:rsidR="008E06B8">
        <w:rPr>
          <w:rFonts w:asciiTheme="minorHAnsi" w:hAnsiTheme="minorHAnsi"/>
        </w:rPr>
        <w:t xml:space="preserve">might </w:t>
      </w:r>
      <w:r w:rsidR="00A30A61">
        <w:rPr>
          <w:rFonts w:asciiTheme="minorHAnsi" w:hAnsiTheme="minorHAnsi"/>
        </w:rPr>
        <w:t>make it difficult for standard water quality trading elements to apply?</w:t>
      </w:r>
    </w:p>
    <w:p w:rsidR="00A30A61" w:rsidRDefault="00460A2F" w:rsidP="00F519DF">
      <w:pPr>
        <w:pStyle w:val="Default"/>
        <w:spacing w:before="240" w:after="120"/>
        <w:ind w:left="360"/>
        <w:rPr>
          <w:rFonts w:asciiTheme="minorHAnsi" w:hAnsiTheme="minorHAnsi"/>
        </w:rPr>
      </w:pPr>
      <w:r>
        <w:rPr>
          <w:rFonts w:asciiTheme="minorHAnsi" w:hAnsiTheme="minorHAnsi"/>
          <w:u w:val="single"/>
        </w:rPr>
        <w:t>Potential state differences:</w:t>
      </w:r>
      <w:r>
        <w:rPr>
          <w:rFonts w:asciiTheme="minorHAnsi" w:hAnsiTheme="minorHAnsi"/>
        </w:rPr>
        <w:t xml:space="preserve"> We don’t know where the state differences on 401 certifications may lie.</w:t>
      </w:r>
    </w:p>
    <w:p w:rsidR="00F519DF" w:rsidRDefault="00F519DF" w:rsidP="00F519DF">
      <w:pPr>
        <w:pStyle w:val="Default"/>
        <w:spacing w:before="360" w:after="120"/>
        <w:rPr>
          <w:rFonts w:asciiTheme="minorHAnsi" w:hAnsiTheme="minorHAnsi" w:cs="Arial"/>
          <w:b/>
          <w:bCs/>
        </w:rPr>
      </w:pPr>
      <w:r>
        <w:rPr>
          <w:rFonts w:asciiTheme="minorHAnsi" w:hAnsiTheme="minorHAnsi" w:cs="Arial"/>
          <w:b/>
          <w:bCs/>
        </w:rPr>
        <w:t>e</w:t>
      </w:r>
      <w:r w:rsidR="00A30A61" w:rsidRPr="00F519DF">
        <w:rPr>
          <w:rFonts w:asciiTheme="minorHAnsi" w:hAnsiTheme="minorHAnsi" w:cs="Arial"/>
          <w:b/>
          <w:bCs/>
        </w:rPr>
        <w:t>. S</w:t>
      </w:r>
      <w:r>
        <w:rPr>
          <w:rFonts w:asciiTheme="minorHAnsi" w:hAnsiTheme="minorHAnsi" w:cs="Arial"/>
          <w:b/>
          <w:bCs/>
        </w:rPr>
        <w:t>tormwater (MS4 and other orders)</w:t>
      </w:r>
    </w:p>
    <w:p w:rsidR="00A723B8" w:rsidRDefault="00A30A61" w:rsidP="00A30A61">
      <w:pPr>
        <w:pStyle w:val="Default"/>
        <w:rPr>
          <w:rFonts w:asciiTheme="minorHAnsi" w:hAnsiTheme="minorHAnsi"/>
        </w:rPr>
      </w:pPr>
      <w:r>
        <w:rPr>
          <w:rFonts w:asciiTheme="minorHAnsi" w:hAnsiTheme="minorHAnsi"/>
        </w:rPr>
        <w:t xml:space="preserve">North Carolina, Maryland, and Virginia are actively implementing stormwater offsets through statewide statutes, local rules, or as BMPs under MS4 permits. Traditional forms of trading are difficult under MS4 permits because of the Maximum Extent Practicable standard for technologies. No net increases in discharge are generally applied to new development. </w:t>
      </w:r>
      <w:r w:rsidR="0001448E">
        <w:rPr>
          <w:rFonts w:asciiTheme="minorHAnsi" w:hAnsiTheme="minorHAnsi"/>
        </w:rPr>
        <w:t xml:space="preserve">Also, EPA is now working with states to assign MS4 and general stormwater permittees Waste Load Allocations in TMDLs, including in Region 10.  </w:t>
      </w:r>
    </w:p>
    <w:p w:rsidR="0001448E" w:rsidRDefault="00F519DF" w:rsidP="0001448E">
      <w:pPr>
        <w:pStyle w:val="Default"/>
        <w:spacing w:before="240" w:after="120"/>
        <w:ind w:left="360"/>
        <w:rPr>
          <w:rFonts w:asciiTheme="minorHAnsi" w:hAnsiTheme="minorHAnsi"/>
        </w:rPr>
      </w:pPr>
      <w:r w:rsidRPr="00F519DF">
        <w:rPr>
          <w:rFonts w:asciiTheme="minorHAnsi" w:hAnsiTheme="minorHAnsi" w:cs="Arial"/>
          <w:bCs/>
          <w:u w:val="single"/>
        </w:rPr>
        <w:t>Questions to consider</w:t>
      </w:r>
      <w:r>
        <w:rPr>
          <w:rFonts w:asciiTheme="minorHAnsi" w:hAnsiTheme="minorHAnsi" w:cs="Arial"/>
          <w:bCs/>
          <w:u w:val="single"/>
        </w:rPr>
        <w:t>:</w:t>
      </w:r>
      <w:r w:rsidRPr="00F519DF">
        <w:rPr>
          <w:rFonts w:asciiTheme="minorHAnsi" w:hAnsiTheme="minorHAnsi" w:cs="Arial"/>
          <w:bCs/>
        </w:rPr>
        <w:t xml:space="preserve"> </w:t>
      </w:r>
      <w:r w:rsidR="00A30A61">
        <w:rPr>
          <w:rFonts w:asciiTheme="minorHAnsi" w:hAnsiTheme="minorHAnsi"/>
        </w:rPr>
        <w:t xml:space="preserve">Under which situations is trading appropriate, and where is it not? What is different about </w:t>
      </w:r>
      <w:r w:rsidR="007D2CEE">
        <w:rPr>
          <w:rFonts w:asciiTheme="minorHAnsi" w:hAnsiTheme="minorHAnsi"/>
        </w:rPr>
        <w:t>stormwater</w:t>
      </w:r>
      <w:r w:rsidR="00A30A61">
        <w:rPr>
          <w:rFonts w:asciiTheme="minorHAnsi" w:hAnsiTheme="minorHAnsi"/>
        </w:rPr>
        <w:t xml:space="preserve"> that </w:t>
      </w:r>
      <w:r w:rsidR="008E06B8">
        <w:rPr>
          <w:rFonts w:asciiTheme="minorHAnsi" w:hAnsiTheme="minorHAnsi"/>
        </w:rPr>
        <w:t xml:space="preserve">might </w:t>
      </w:r>
      <w:r w:rsidR="00A30A61">
        <w:rPr>
          <w:rFonts w:asciiTheme="minorHAnsi" w:hAnsiTheme="minorHAnsi"/>
        </w:rPr>
        <w:t>make it difficult for standard water quality trading elements to apply?</w:t>
      </w:r>
      <w:r w:rsidR="0001448E">
        <w:rPr>
          <w:rFonts w:asciiTheme="minorHAnsi" w:hAnsiTheme="minorHAnsi"/>
        </w:rPr>
        <w:t xml:space="preserve"> What would the MS4 permit need to say to accommodate trading?  How will the pollutant being traded be quantified in a stormwater permit if flow is used as a surrogate measure?</w:t>
      </w:r>
    </w:p>
    <w:p w:rsidR="00A723B8" w:rsidRDefault="00F519DF" w:rsidP="00F519DF">
      <w:pPr>
        <w:pStyle w:val="Default"/>
        <w:spacing w:before="240" w:after="120"/>
        <w:ind w:firstLine="360"/>
        <w:rPr>
          <w:rFonts w:asciiTheme="minorHAnsi" w:hAnsiTheme="minorHAnsi"/>
        </w:rPr>
      </w:pPr>
      <w:r>
        <w:rPr>
          <w:rFonts w:asciiTheme="minorHAnsi" w:hAnsiTheme="minorHAnsi"/>
          <w:u w:val="single"/>
        </w:rPr>
        <w:t>Potential state differences:</w:t>
      </w:r>
      <w:r>
        <w:rPr>
          <w:rFonts w:asciiTheme="minorHAnsi" w:hAnsiTheme="minorHAnsi"/>
        </w:rPr>
        <w:t xml:space="preserve"> </w:t>
      </w:r>
      <w:r w:rsidR="00A30A61">
        <w:rPr>
          <w:rFonts w:asciiTheme="minorHAnsi" w:hAnsiTheme="minorHAnsi"/>
        </w:rPr>
        <w:t>We don’t know where the state</w:t>
      </w:r>
      <w:r w:rsidR="00934CE4">
        <w:rPr>
          <w:rFonts w:asciiTheme="minorHAnsi" w:hAnsiTheme="minorHAnsi"/>
        </w:rPr>
        <w:t xml:space="preserve"> differences on stormwater may lie.</w:t>
      </w:r>
    </w:p>
    <w:p w:rsidR="005D58F9" w:rsidRPr="004D4D2A" w:rsidRDefault="00E441D9" w:rsidP="00F519DF">
      <w:pPr>
        <w:pStyle w:val="Default"/>
        <w:spacing w:before="360" w:after="120"/>
        <w:rPr>
          <w:rFonts w:asciiTheme="minorHAnsi" w:hAnsiTheme="minorHAnsi"/>
          <w:b/>
        </w:rPr>
      </w:pPr>
      <w:r w:rsidRPr="004D4D2A">
        <w:rPr>
          <w:rFonts w:asciiTheme="minorHAnsi" w:hAnsiTheme="minorHAnsi"/>
          <w:b/>
        </w:rPr>
        <w:t xml:space="preserve">II. </w:t>
      </w:r>
      <w:r w:rsidR="004D4D2A">
        <w:rPr>
          <w:rFonts w:asciiTheme="minorHAnsi" w:hAnsiTheme="minorHAnsi"/>
          <w:b/>
        </w:rPr>
        <w:t>Recommended d</w:t>
      </w:r>
      <w:r w:rsidRPr="004D4D2A">
        <w:rPr>
          <w:rFonts w:asciiTheme="minorHAnsi" w:hAnsiTheme="minorHAnsi"/>
          <w:b/>
        </w:rPr>
        <w:t>efault</w:t>
      </w:r>
    </w:p>
    <w:p w:rsidR="00E441D9" w:rsidRDefault="00934CE4" w:rsidP="007125DE">
      <w:pPr>
        <w:pStyle w:val="Default"/>
        <w:rPr>
          <w:rFonts w:asciiTheme="minorHAnsi" w:hAnsiTheme="minorHAnsi"/>
        </w:rPr>
      </w:pPr>
      <w:r>
        <w:rPr>
          <w:rFonts w:asciiTheme="minorHAnsi" w:hAnsiTheme="minorHAnsi"/>
        </w:rPr>
        <w:t>Including trading into NPDES permits under a TMDL is supported by USEPA’s 2003 trading policy</w:t>
      </w:r>
      <w:r w:rsidR="004D4D2A">
        <w:rPr>
          <w:rFonts w:asciiTheme="minorHAnsi" w:hAnsiTheme="minorHAnsi"/>
        </w:rPr>
        <w:t>.</w:t>
      </w:r>
      <w:r>
        <w:rPr>
          <w:rFonts w:asciiTheme="minorHAnsi" w:hAnsiTheme="minorHAnsi"/>
        </w:rPr>
        <w:t xml:space="preserve"> Trading under other regulatory environments may also be possible on a case by case basis given they meet some of the screening criteria defined by each state. </w:t>
      </w:r>
    </w:p>
    <w:p w:rsidR="004D4D2A" w:rsidRPr="004D4D2A" w:rsidRDefault="004D4D2A" w:rsidP="00F519DF">
      <w:pPr>
        <w:pStyle w:val="Default"/>
        <w:spacing w:before="360" w:after="120"/>
        <w:rPr>
          <w:rFonts w:asciiTheme="minorHAnsi" w:hAnsiTheme="minorHAnsi"/>
          <w:b/>
        </w:rPr>
      </w:pPr>
      <w:r w:rsidRPr="004D4D2A">
        <w:rPr>
          <w:rFonts w:asciiTheme="minorHAnsi" w:hAnsiTheme="minorHAnsi"/>
          <w:b/>
        </w:rPr>
        <w:lastRenderedPageBreak/>
        <w:t>III. Reasons to deviate from the default</w:t>
      </w:r>
    </w:p>
    <w:p w:rsidR="00D80E61" w:rsidRDefault="008E06B8" w:rsidP="004D4D2A">
      <w:pPr>
        <w:pStyle w:val="Default"/>
        <w:rPr>
          <w:rFonts w:asciiTheme="minorHAnsi" w:hAnsiTheme="minorHAnsi"/>
          <w:b/>
          <w:i/>
        </w:rPr>
      </w:pPr>
      <w:r>
        <w:rPr>
          <w:rFonts w:asciiTheme="minorHAnsi" w:hAnsiTheme="minorHAnsi"/>
        </w:rPr>
        <w:t xml:space="preserve">Where other eligibility conditions are met and the scenario is consistent with the guiding principles on water quality trading, trades may be considered. For example, when there is </w:t>
      </w:r>
      <w:r w:rsidR="007D2CEE">
        <w:rPr>
          <w:rFonts w:asciiTheme="minorHAnsi" w:hAnsiTheme="minorHAnsi"/>
        </w:rPr>
        <w:t>a new</w:t>
      </w:r>
      <w:r w:rsidR="0001448E">
        <w:rPr>
          <w:rFonts w:asciiTheme="minorHAnsi" w:hAnsiTheme="minorHAnsi"/>
        </w:rPr>
        <w:t xml:space="preserve"> or revised limit in an NPDES permit with a known opportunity to achieve significant reductions in a more important segment than where the point source is located; achievement of a significant net environmental benefit while also providing substantial cost savings to the point source, or with valid information to substantiate these claims (and all this must be considered alongside the cost that will be borne by the state or EPA writing the permit). </w:t>
      </w:r>
    </w:p>
    <w:p w:rsidR="003D0FF2" w:rsidRPr="0051036D" w:rsidRDefault="00726DDC" w:rsidP="00E206EB">
      <w:pPr>
        <w:pStyle w:val="Heading2"/>
        <w:rPr>
          <w:b/>
        </w:rPr>
      </w:pPr>
      <w:bookmarkStart w:id="2" w:name="_Toc352136090"/>
      <w:r w:rsidRPr="0051036D">
        <w:rPr>
          <w:b/>
        </w:rPr>
        <w:t>1.2</w:t>
      </w:r>
      <w:r w:rsidR="00C823CE" w:rsidRPr="0051036D">
        <w:rPr>
          <w:b/>
        </w:rPr>
        <w:t>.</w:t>
      </w:r>
      <w:r w:rsidR="00F94F03" w:rsidRPr="0051036D">
        <w:rPr>
          <w:b/>
        </w:rPr>
        <w:t xml:space="preserve"> </w:t>
      </w:r>
      <w:r w:rsidR="003D0FF2" w:rsidRPr="0051036D">
        <w:rPr>
          <w:b/>
        </w:rPr>
        <w:t xml:space="preserve">Eligible </w:t>
      </w:r>
      <w:r w:rsidR="0051036D">
        <w:rPr>
          <w:b/>
        </w:rPr>
        <w:t>c</w:t>
      </w:r>
      <w:r w:rsidR="003D0FF2" w:rsidRPr="0051036D">
        <w:rPr>
          <w:b/>
        </w:rPr>
        <w:t xml:space="preserve">redit </w:t>
      </w:r>
      <w:r w:rsidR="0051036D">
        <w:rPr>
          <w:b/>
        </w:rPr>
        <w:t>b</w:t>
      </w:r>
      <w:r w:rsidR="003D0FF2" w:rsidRPr="0051036D">
        <w:rPr>
          <w:b/>
        </w:rPr>
        <w:t>uyers</w:t>
      </w:r>
      <w:bookmarkEnd w:id="2"/>
    </w:p>
    <w:p w:rsidR="003D0FF2" w:rsidRDefault="003D0FF2" w:rsidP="003D0FF2">
      <w:pPr>
        <w:pStyle w:val="Default"/>
        <w:rPr>
          <w:rFonts w:asciiTheme="minorHAnsi" w:hAnsiTheme="minorHAnsi"/>
        </w:rPr>
      </w:pPr>
      <w:r>
        <w:rPr>
          <w:rFonts w:asciiTheme="minorHAnsi" w:hAnsiTheme="minorHAnsi"/>
        </w:rPr>
        <w:t xml:space="preserve">Each permittee needs to meet certain conditions before they are eligible to purchase credits (e.g. meet technology-based effluent limit).  There are three types of trades described in USEPA’s Trading Policy: point-point trades, point-nonpoint trades, and nonpoint-nonpoint trades. The focus of this agreement is on point-nonpoint trades. </w:t>
      </w:r>
      <w:r w:rsidR="00F94F03">
        <w:rPr>
          <w:rFonts w:asciiTheme="minorHAnsi" w:hAnsiTheme="minorHAnsi"/>
        </w:rPr>
        <w:t>The following describes conditions that may be included in the Joint Regional Agreement as eligibility requirements for point sources seeking to engage in trading.</w:t>
      </w:r>
    </w:p>
    <w:p w:rsidR="003D0FF2" w:rsidRDefault="003D0FF2" w:rsidP="00F94F03">
      <w:pPr>
        <w:pStyle w:val="Default"/>
        <w:spacing w:before="240" w:after="120"/>
        <w:rPr>
          <w:rFonts w:asciiTheme="minorHAnsi" w:hAnsiTheme="minorHAnsi" w:cs="Arial"/>
          <w:b/>
          <w:bCs/>
        </w:rPr>
      </w:pPr>
      <w:r w:rsidRPr="007E25D5">
        <w:rPr>
          <w:rFonts w:asciiTheme="minorHAnsi" w:hAnsiTheme="minorHAnsi" w:cs="Arial"/>
          <w:b/>
          <w:bCs/>
        </w:rPr>
        <w:t>I. Options and examples</w:t>
      </w:r>
    </w:p>
    <w:tbl>
      <w:tblPr>
        <w:tblStyle w:val="TableGrid"/>
        <w:tblW w:w="0" w:type="auto"/>
        <w:tblLook w:val="04A0"/>
      </w:tblPr>
      <w:tblGrid>
        <w:gridCol w:w="8028"/>
      </w:tblGrid>
      <w:tr w:rsidR="00F94F03" w:rsidTr="00D01D61">
        <w:tc>
          <w:tcPr>
            <w:tcW w:w="8028" w:type="dxa"/>
          </w:tcPr>
          <w:p w:rsidR="00F94F03" w:rsidRPr="001661A9" w:rsidRDefault="00F94F03" w:rsidP="00F94F03">
            <w:pPr>
              <w:spacing w:before="120"/>
              <w:rPr>
                <w:b/>
              </w:rPr>
            </w:pPr>
            <w:r w:rsidRPr="001661A9">
              <w:rPr>
                <w:b/>
              </w:rPr>
              <w:t>Option A</w:t>
            </w:r>
            <w:r>
              <w:rPr>
                <w:b/>
              </w:rPr>
              <w:t>1: Meeting TBELs</w:t>
            </w:r>
          </w:p>
          <w:p w:rsidR="00F94F03" w:rsidRPr="00F94F03" w:rsidRDefault="0001448E" w:rsidP="00F94F03">
            <w:pPr>
              <w:spacing w:after="120"/>
              <w:rPr>
                <w:rFonts w:asciiTheme="minorHAnsi" w:hAnsiTheme="minorHAnsi"/>
              </w:rPr>
            </w:pPr>
            <w:r>
              <w:rPr>
                <w:rFonts w:asciiTheme="minorHAnsi" w:hAnsiTheme="minorHAnsi"/>
              </w:rPr>
              <w:t xml:space="preserve">A </w:t>
            </w:r>
            <w:r w:rsidRPr="00984BC2">
              <w:rPr>
                <w:rFonts w:asciiTheme="minorHAnsi" w:hAnsiTheme="minorHAnsi"/>
              </w:rPr>
              <w:t>point source can obtain credits</w:t>
            </w:r>
            <w:r>
              <w:rPr>
                <w:rFonts w:asciiTheme="minorHAnsi" w:hAnsiTheme="minorHAnsi"/>
              </w:rPr>
              <w:t xml:space="preserve"> generated</w:t>
            </w:r>
            <w:r w:rsidRPr="00984BC2">
              <w:rPr>
                <w:rFonts w:asciiTheme="minorHAnsi" w:hAnsiTheme="minorHAnsi"/>
              </w:rPr>
              <w:t xml:space="preserve"> from </w:t>
            </w:r>
            <w:r>
              <w:rPr>
                <w:rFonts w:asciiTheme="minorHAnsi" w:hAnsiTheme="minorHAnsi"/>
              </w:rPr>
              <w:t xml:space="preserve">a </w:t>
            </w:r>
            <w:r w:rsidRPr="00984BC2">
              <w:rPr>
                <w:rFonts w:asciiTheme="minorHAnsi" w:hAnsiTheme="minorHAnsi"/>
              </w:rPr>
              <w:t xml:space="preserve">nonpoint </w:t>
            </w:r>
            <w:r>
              <w:rPr>
                <w:rFonts w:asciiTheme="minorHAnsi" w:hAnsiTheme="minorHAnsi"/>
              </w:rPr>
              <w:t xml:space="preserve">or point </w:t>
            </w:r>
            <w:r w:rsidRPr="00984BC2">
              <w:rPr>
                <w:rFonts w:asciiTheme="minorHAnsi" w:hAnsiTheme="minorHAnsi"/>
              </w:rPr>
              <w:t>source</w:t>
            </w:r>
            <w:r>
              <w:rPr>
                <w:rFonts w:asciiTheme="minorHAnsi" w:hAnsiTheme="minorHAnsi"/>
              </w:rPr>
              <w:t xml:space="preserve"> that has already fulfilled its obligations imposed by other laws or regulations</w:t>
            </w:r>
            <w:r w:rsidRPr="00984BC2">
              <w:rPr>
                <w:rFonts w:asciiTheme="minorHAnsi" w:hAnsiTheme="minorHAnsi"/>
              </w:rPr>
              <w:t>, after first complying with applicable technology-based effluent limits and permit conditions, to achieve water quality based effluent limits</w:t>
            </w:r>
            <w:r>
              <w:rPr>
                <w:rFonts w:asciiTheme="minorHAnsi" w:hAnsiTheme="minorHAnsi"/>
              </w:rPr>
              <w:t xml:space="preserve"> (WQBELs)</w:t>
            </w:r>
            <w:r w:rsidRPr="00984BC2">
              <w:rPr>
                <w:rFonts w:asciiTheme="minorHAnsi" w:hAnsiTheme="minorHAnsi"/>
              </w:rPr>
              <w:t>.</w:t>
            </w:r>
            <w:r>
              <w:rPr>
                <w:rFonts w:asciiTheme="minorHAnsi" w:hAnsiTheme="minorHAnsi"/>
              </w:rPr>
              <w:t xml:space="preserve">  Trading may be considered for those point sources subject to new or revised technology-based effluent guidelines </w:t>
            </w:r>
            <w:r w:rsidR="007D2CEE">
              <w:rPr>
                <w:rFonts w:asciiTheme="minorHAnsi" w:hAnsiTheme="minorHAnsi"/>
              </w:rPr>
              <w:t>or other</w:t>
            </w:r>
            <w:r>
              <w:rPr>
                <w:rFonts w:asciiTheme="minorHAnsi" w:hAnsiTheme="minorHAnsi"/>
              </w:rPr>
              <w:t xml:space="preserve"> regulations to achieve technology-based requirements where EPA explicitly authorizes it.</w:t>
            </w:r>
            <w:r w:rsidRPr="00984BC2">
              <w:rPr>
                <w:rFonts w:asciiTheme="minorHAnsi" w:hAnsiTheme="minorHAnsi"/>
              </w:rPr>
              <w:t xml:space="preserve"> </w:t>
            </w:r>
          </w:p>
        </w:tc>
      </w:tr>
      <w:tr w:rsidR="00F94F03" w:rsidTr="00D01D61">
        <w:tc>
          <w:tcPr>
            <w:tcW w:w="8028" w:type="dxa"/>
          </w:tcPr>
          <w:p w:rsidR="00F94F03" w:rsidRPr="001661A9" w:rsidRDefault="00F94F03" w:rsidP="00F94F03">
            <w:pPr>
              <w:spacing w:before="120"/>
              <w:rPr>
                <w:b/>
              </w:rPr>
            </w:pPr>
            <w:r w:rsidRPr="001661A9">
              <w:rPr>
                <w:b/>
              </w:rPr>
              <w:t>Option A</w:t>
            </w:r>
            <w:r>
              <w:rPr>
                <w:b/>
              </w:rPr>
              <w:t>2: Near-field impacts</w:t>
            </w:r>
          </w:p>
          <w:p w:rsidR="00F94F03" w:rsidRPr="00F94F03" w:rsidRDefault="00F94F03" w:rsidP="00F94F03">
            <w:pPr>
              <w:spacing w:after="120"/>
              <w:rPr>
                <w:rFonts w:asciiTheme="minorHAnsi" w:hAnsiTheme="minorHAnsi"/>
              </w:rPr>
            </w:pPr>
            <w:r>
              <w:rPr>
                <w:rFonts w:asciiTheme="minorHAnsi" w:hAnsiTheme="minorHAnsi" w:cs="Arial"/>
              </w:rPr>
              <w:t xml:space="preserve">A </w:t>
            </w:r>
            <w:r>
              <w:rPr>
                <w:rFonts w:asciiTheme="minorHAnsi" w:hAnsiTheme="minorHAnsi"/>
              </w:rPr>
              <w:t>p</w:t>
            </w:r>
            <w:r w:rsidRPr="00984BC2">
              <w:rPr>
                <w:rFonts w:asciiTheme="minorHAnsi" w:hAnsiTheme="minorHAnsi"/>
              </w:rPr>
              <w:t>oint source can</w:t>
            </w:r>
            <w:r>
              <w:rPr>
                <w:rFonts w:asciiTheme="minorHAnsi" w:hAnsiTheme="minorHAnsi"/>
              </w:rPr>
              <w:t xml:space="preserve">not create pollution hotspots. </w:t>
            </w:r>
            <w:r w:rsidRPr="00D06414">
              <w:rPr>
                <w:rFonts w:asciiTheme="minorHAnsi" w:hAnsiTheme="minorHAnsi"/>
              </w:rPr>
              <w:t>No wastes may be discharged or activities conducted that cause or contribute to a violation of water quality standards exce</w:t>
            </w:r>
            <w:r>
              <w:rPr>
                <w:rFonts w:asciiTheme="minorHAnsi" w:hAnsiTheme="minorHAnsi"/>
              </w:rPr>
              <w:t>p</w:t>
            </w:r>
            <w:r w:rsidRPr="00D06414">
              <w:rPr>
                <w:rFonts w:asciiTheme="minorHAnsi" w:hAnsiTheme="minorHAnsi"/>
              </w:rPr>
              <w:t xml:space="preserve">t as allowed in regulatory mixing zones.  Acute criteria must </w:t>
            </w:r>
            <w:r>
              <w:rPr>
                <w:rFonts w:asciiTheme="minorHAnsi" w:hAnsiTheme="minorHAnsi"/>
              </w:rPr>
              <w:t xml:space="preserve">be met </w:t>
            </w:r>
            <w:r w:rsidRPr="00D06414">
              <w:rPr>
                <w:rFonts w:asciiTheme="minorHAnsi" w:hAnsiTheme="minorHAnsi"/>
              </w:rPr>
              <w:t xml:space="preserve">after the zone of initial dilution, and chronic criteria must be met after the end of the larger regulatory mixing zone. </w:t>
            </w:r>
          </w:p>
        </w:tc>
      </w:tr>
      <w:tr w:rsidR="00F94F03" w:rsidTr="00D01D61">
        <w:tc>
          <w:tcPr>
            <w:tcW w:w="8028" w:type="dxa"/>
          </w:tcPr>
          <w:p w:rsidR="00F94F03" w:rsidRPr="001661A9" w:rsidRDefault="00F94F03" w:rsidP="00F94F03">
            <w:pPr>
              <w:spacing w:before="120"/>
              <w:rPr>
                <w:b/>
              </w:rPr>
            </w:pPr>
            <w:r w:rsidRPr="001661A9">
              <w:rPr>
                <w:b/>
              </w:rPr>
              <w:t>Option A</w:t>
            </w:r>
            <w:r>
              <w:rPr>
                <w:b/>
              </w:rPr>
              <w:t>3: Anti-</w:t>
            </w:r>
            <w:r w:rsidR="00460A2F">
              <w:rPr>
                <w:b/>
              </w:rPr>
              <w:t>degradation</w:t>
            </w:r>
          </w:p>
          <w:p w:rsidR="00F94F03" w:rsidRPr="00F94F03" w:rsidRDefault="00F94F03" w:rsidP="00F94F03">
            <w:pPr>
              <w:spacing w:after="120"/>
            </w:pPr>
            <w:r w:rsidRPr="0081507E">
              <w:rPr>
                <w:rFonts w:asciiTheme="minorHAnsi" w:hAnsiTheme="minorHAnsi"/>
              </w:rPr>
              <w:t xml:space="preserve">Water quality trading programs must, at a minimum, maintain and protect existing uses in impaired waters. In high quality waters, states cannot further degrade water quality unless found necessary to accommodate important economic or social development in the area.   In state-designated “outstanding natural resources waters,” water quality must be maintained and protected without exception.   </w:t>
            </w:r>
            <w:r>
              <w:rPr>
                <w:rFonts w:asciiTheme="minorHAnsi" w:hAnsiTheme="minorHAnsi"/>
              </w:rPr>
              <w:t xml:space="preserve">In the 2003 Trading Policy, EPA recommends states adopt a provision in their anti-degradation policies stating that trading in high quality waters can occur without anti-deg review.  </w:t>
            </w:r>
            <w:r w:rsidRPr="00144E81">
              <w:rPr>
                <w:rFonts w:asciiTheme="minorHAnsi" w:hAnsiTheme="minorHAnsi"/>
              </w:rPr>
              <w:t>EPA asserts that WQT will not result in “lower water quality” for high quality waters.</w:t>
            </w:r>
          </w:p>
        </w:tc>
      </w:tr>
      <w:tr w:rsidR="00F94F03" w:rsidTr="00D01D61">
        <w:trPr>
          <w:trHeight w:val="539"/>
        </w:trPr>
        <w:tc>
          <w:tcPr>
            <w:tcW w:w="8028" w:type="dxa"/>
          </w:tcPr>
          <w:p w:rsidR="00F94F03" w:rsidRPr="00F94F03" w:rsidRDefault="00F94F03" w:rsidP="00F94F03">
            <w:pPr>
              <w:spacing w:before="120"/>
              <w:rPr>
                <w:b/>
              </w:rPr>
            </w:pPr>
            <w:r>
              <w:rPr>
                <w:b/>
              </w:rPr>
              <w:t>Others?</w:t>
            </w:r>
          </w:p>
        </w:tc>
      </w:tr>
    </w:tbl>
    <w:p w:rsidR="003D0FF2" w:rsidRPr="004D4D2A" w:rsidRDefault="003D0FF2" w:rsidP="00F94F03">
      <w:pPr>
        <w:pStyle w:val="Default"/>
        <w:spacing w:before="240" w:after="120"/>
        <w:rPr>
          <w:rFonts w:asciiTheme="minorHAnsi" w:hAnsiTheme="minorHAnsi"/>
          <w:b/>
        </w:rPr>
      </w:pPr>
      <w:r w:rsidRPr="004D4D2A">
        <w:rPr>
          <w:rFonts w:asciiTheme="minorHAnsi" w:hAnsiTheme="minorHAnsi"/>
          <w:b/>
        </w:rPr>
        <w:lastRenderedPageBreak/>
        <w:t xml:space="preserve">II. </w:t>
      </w:r>
      <w:r>
        <w:rPr>
          <w:rFonts w:asciiTheme="minorHAnsi" w:hAnsiTheme="minorHAnsi"/>
          <w:b/>
        </w:rPr>
        <w:t>Recommended d</w:t>
      </w:r>
      <w:r w:rsidRPr="004D4D2A">
        <w:rPr>
          <w:rFonts w:asciiTheme="minorHAnsi" w:hAnsiTheme="minorHAnsi"/>
          <w:b/>
        </w:rPr>
        <w:t>efault</w:t>
      </w:r>
    </w:p>
    <w:p w:rsidR="003D0FF2" w:rsidRPr="006E7EFA" w:rsidRDefault="003D0FF2" w:rsidP="003D0FF2">
      <w:pPr>
        <w:rPr>
          <w:sz w:val="24"/>
          <w:szCs w:val="24"/>
        </w:rPr>
      </w:pPr>
      <w:r w:rsidRPr="006E7EFA">
        <w:rPr>
          <w:rFonts w:asciiTheme="minorHAnsi" w:hAnsiTheme="minorHAnsi"/>
          <w:sz w:val="24"/>
          <w:szCs w:val="24"/>
        </w:rPr>
        <w:t xml:space="preserve">A point source can obtain credits generated from a nonpoint or point source that </w:t>
      </w:r>
      <w:r w:rsidR="0001448E">
        <w:rPr>
          <w:rFonts w:asciiTheme="minorHAnsi" w:hAnsiTheme="minorHAnsi"/>
          <w:sz w:val="24"/>
          <w:szCs w:val="24"/>
        </w:rPr>
        <w:t xml:space="preserve">is meeting or </w:t>
      </w:r>
      <w:r w:rsidRPr="006E7EFA">
        <w:rPr>
          <w:rFonts w:asciiTheme="minorHAnsi" w:hAnsiTheme="minorHAnsi"/>
          <w:sz w:val="24"/>
          <w:szCs w:val="24"/>
        </w:rPr>
        <w:t xml:space="preserve">has already fulfilled its obligations imposed by other laws or regulations, </w:t>
      </w:r>
      <w:r w:rsidR="0001448E">
        <w:rPr>
          <w:rFonts w:asciiTheme="minorHAnsi" w:hAnsiTheme="minorHAnsi"/>
          <w:sz w:val="24"/>
          <w:szCs w:val="24"/>
        </w:rPr>
        <w:t xml:space="preserve">and </w:t>
      </w:r>
      <w:r w:rsidRPr="006E7EFA">
        <w:rPr>
          <w:rFonts w:asciiTheme="minorHAnsi" w:hAnsiTheme="minorHAnsi"/>
          <w:sz w:val="24"/>
          <w:szCs w:val="24"/>
        </w:rPr>
        <w:t xml:space="preserve">after first </w:t>
      </w:r>
      <w:r w:rsidR="0001448E">
        <w:rPr>
          <w:rFonts w:asciiTheme="minorHAnsi" w:hAnsiTheme="minorHAnsi"/>
          <w:sz w:val="24"/>
          <w:szCs w:val="24"/>
        </w:rPr>
        <w:t xml:space="preserve">it </w:t>
      </w:r>
      <w:r w:rsidRPr="006E7EFA">
        <w:rPr>
          <w:rFonts w:asciiTheme="minorHAnsi" w:hAnsiTheme="minorHAnsi"/>
          <w:sz w:val="24"/>
          <w:szCs w:val="24"/>
        </w:rPr>
        <w:t>compl</w:t>
      </w:r>
      <w:r w:rsidR="0001448E">
        <w:rPr>
          <w:rFonts w:asciiTheme="minorHAnsi" w:hAnsiTheme="minorHAnsi"/>
          <w:sz w:val="24"/>
          <w:szCs w:val="24"/>
        </w:rPr>
        <w:t>ies</w:t>
      </w:r>
      <w:r w:rsidRPr="006E7EFA">
        <w:rPr>
          <w:rFonts w:asciiTheme="minorHAnsi" w:hAnsiTheme="minorHAnsi"/>
          <w:sz w:val="24"/>
          <w:szCs w:val="24"/>
        </w:rPr>
        <w:t xml:space="preserve"> with applicable technology-based effluent limits and permit conditions, to achieve water quality based effluent limits (WQBELs). All entities engaged in water quality trading must comply with applicable federal, state and local near-field regulations to ensure the integrity of state designated beneficial uses, and to ensure that no “hot spots” develop.  Water quality trades and trading programs comply with anti-degradation laws</w:t>
      </w:r>
      <w:r w:rsidR="0051036D">
        <w:rPr>
          <w:rFonts w:asciiTheme="minorHAnsi" w:hAnsiTheme="minorHAnsi"/>
          <w:sz w:val="24"/>
          <w:szCs w:val="24"/>
        </w:rPr>
        <w:t>.</w:t>
      </w:r>
    </w:p>
    <w:p w:rsidR="003D0FF2" w:rsidRPr="004D4D2A" w:rsidRDefault="003D0FF2" w:rsidP="00F94F03">
      <w:pPr>
        <w:pStyle w:val="Default"/>
        <w:spacing w:before="240" w:after="120"/>
        <w:rPr>
          <w:rFonts w:asciiTheme="minorHAnsi" w:hAnsiTheme="minorHAnsi"/>
          <w:b/>
        </w:rPr>
      </w:pPr>
      <w:r w:rsidRPr="004D4D2A">
        <w:rPr>
          <w:rFonts w:asciiTheme="minorHAnsi" w:hAnsiTheme="minorHAnsi"/>
          <w:b/>
        </w:rPr>
        <w:t>III. Reasons to deviate from the default</w:t>
      </w:r>
    </w:p>
    <w:p w:rsidR="003D0FF2" w:rsidRDefault="00F94F03" w:rsidP="003D0FF2">
      <w:pPr>
        <w:pStyle w:val="Default"/>
        <w:rPr>
          <w:rFonts w:asciiTheme="minorHAnsi" w:hAnsiTheme="minorHAnsi"/>
          <w:b/>
          <w:i/>
        </w:rPr>
      </w:pPr>
      <w:r>
        <w:rPr>
          <w:rFonts w:asciiTheme="minorHAnsi" w:hAnsiTheme="minorHAnsi"/>
          <w:u w:val="single"/>
        </w:rPr>
        <w:t xml:space="preserve">Questions to consider: </w:t>
      </w:r>
      <w:r w:rsidR="003D0FF2">
        <w:rPr>
          <w:rFonts w:asciiTheme="minorHAnsi" w:hAnsiTheme="minorHAnsi"/>
        </w:rPr>
        <w:t xml:space="preserve">Are there any eligibility criteria for buyers beyond meeting their TBELs? For example, trading is not appropriate where there are near-field impacts (e.g. discharge creates a thermal barrier to migration), </w:t>
      </w:r>
      <w:r w:rsidR="00D01D61">
        <w:rPr>
          <w:rFonts w:asciiTheme="minorHAnsi" w:hAnsiTheme="minorHAnsi"/>
        </w:rPr>
        <w:t xml:space="preserve">or where </w:t>
      </w:r>
      <w:r w:rsidR="003D0FF2">
        <w:rPr>
          <w:rFonts w:asciiTheme="minorHAnsi" w:hAnsiTheme="minorHAnsi"/>
        </w:rPr>
        <w:t xml:space="preserve">there are other reasons beyond the </w:t>
      </w:r>
      <w:r w:rsidR="00460A2F">
        <w:rPr>
          <w:rFonts w:asciiTheme="minorHAnsi" w:hAnsiTheme="minorHAnsi"/>
        </w:rPr>
        <w:t>tradable</w:t>
      </w:r>
      <w:r w:rsidR="003D0FF2">
        <w:rPr>
          <w:rFonts w:asciiTheme="minorHAnsi" w:hAnsiTheme="minorHAnsi"/>
        </w:rPr>
        <w:t xml:space="preserve"> pollutant to install technology (e.g. to remove arsenic), etc.</w:t>
      </w:r>
    </w:p>
    <w:p w:rsidR="003D0FF2" w:rsidRPr="0051036D" w:rsidRDefault="00C823CE" w:rsidP="00E206EB">
      <w:pPr>
        <w:pStyle w:val="Heading2"/>
        <w:rPr>
          <w:b/>
        </w:rPr>
      </w:pPr>
      <w:bookmarkStart w:id="3" w:name="_Toc352136091"/>
      <w:r w:rsidRPr="0051036D">
        <w:rPr>
          <w:b/>
        </w:rPr>
        <w:t>1.3</w:t>
      </w:r>
      <w:r w:rsidR="00F94F03" w:rsidRPr="0051036D">
        <w:rPr>
          <w:b/>
        </w:rPr>
        <w:t xml:space="preserve">. </w:t>
      </w:r>
      <w:r w:rsidR="003D0FF2" w:rsidRPr="0051036D">
        <w:rPr>
          <w:b/>
        </w:rPr>
        <w:t xml:space="preserve">Trading </w:t>
      </w:r>
      <w:r w:rsidR="00126B59">
        <w:rPr>
          <w:b/>
        </w:rPr>
        <w:t>a</w:t>
      </w:r>
      <w:r w:rsidR="003D0FF2" w:rsidRPr="0051036D">
        <w:rPr>
          <w:b/>
        </w:rPr>
        <w:t>rea</w:t>
      </w:r>
      <w:bookmarkEnd w:id="3"/>
    </w:p>
    <w:p w:rsidR="003D0FF2" w:rsidRDefault="003D0FF2" w:rsidP="003D0FF2">
      <w:pPr>
        <w:pStyle w:val="Default"/>
        <w:spacing w:before="120" w:after="120"/>
        <w:rPr>
          <w:rFonts w:asciiTheme="minorHAnsi" w:hAnsiTheme="minorHAnsi" w:cs="Arial"/>
          <w:bCs/>
        </w:rPr>
      </w:pPr>
      <w:r>
        <w:rPr>
          <w:rFonts w:asciiTheme="minorHAnsi" w:hAnsiTheme="minorHAnsi" w:cs="Arial"/>
          <w:bCs/>
        </w:rPr>
        <w:t xml:space="preserve">Trading areas define the geographies in which buyers and sellers can conduct trades with each other. A pound </w:t>
      </w:r>
      <w:r w:rsidR="00460A2F">
        <w:rPr>
          <w:rFonts w:asciiTheme="minorHAnsi" w:hAnsiTheme="minorHAnsi" w:cs="Arial"/>
          <w:bCs/>
        </w:rPr>
        <w:t>of phosphorous</w:t>
      </w:r>
      <w:r>
        <w:rPr>
          <w:rFonts w:asciiTheme="minorHAnsi" w:hAnsiTheme="minorHAnsi" w:cs="Arial"/>
          <w:bCs/>
        </w:rPr>
        <w:t xml:space="preserve"> removed in the Boise River Basin is not the same as a </w:t>
      </w:r>
      <w:r w:rsidR="00460A2F">
        <w:rPr>
          <w:rFonts w:asciiTheme="minorHAnsi" w:hAnsiTheme="minorHAnsi" w:cs="Arial"/>
          <w:bCs/>
        </w:rPr>
        <w:t>pound</w:t>
      </w:r>
      <w:r>
        <w:rPr>
          <w:rFonts w:asciiTheme="minorHAnsi" w:hAnsiTheme="minorHAnsi" w:cs="Arial"/>
          <w:bCs/>
        </w:rPr>
        <w:t xml:space="preserve"> of phosphorous removed in the Yakima River. Economically, trading areas like to be big—increasing the number of potential buyers and sellers. Ecologically, nonpoint source reductions should be </w:t>
      </w:r>
      <w:r w:rsidR="00F404B5">
        <w:rPr>
          <w:rFonts w:asciiTheme="minorHAnsi" w:hAnsiTheme="minorHAnsi" w:cs="Arial"/>
          <w:bCs/>
        </w:rPr>
        <w:t xml:space="preserve">sited </w:t>
      </w:r>
      <w:r w:rsidR="00695E16">
        <w:rPr>
          <w:rFonts w:asciiTheme="minorHAnsi" w:hAnsiTheme="minorHAnsi" w:cs="Arial"/>
          <w:bCs/>
        </w:rPr>
        <w:t>where they can best address the</w:t>
      </w:r>
      <w:r w:rsidR="0051036D">
        <w:rPr>
          <w:rFonts w:asciiTheme="minorHAnsi" w:hAnsiTheme="minorHAnsi" w:cs="Arial"/>
          <w:bCs/>
        </w:rPr>
        <w:t xml:space="preserve"> water quality issues.</w:t>
      </w:r>
    </w:p>
    <w:p w:rsidR="003D0FF2" w:rsidRDefault="003D0FF2" w:rsidP="00F94F03">
      <w:pPr>
        <w:pStyle w:val="Default"/>
        <w:spacing w:before="240" w:after="120"/>
        <w:rPr>
          <w:rFonts w:asciiTheme="minorHAnsi" w:hAnsiTheme="minorHAnsi" w:cs="Arial"/>
          <w:b/>
          <w:bCs/>
        </w:rPr>
      </w:pPr>
      <w:r w:rsidRPr="00E441D9">
        <w:rPr>
          <w:rFonts w:asciiTheme="minorHAnsi" w:hAnsiTheme="minorHAnsi" w:cs="Arial"/>
          <w:b/>
          <w:bCs/>
        </w:rPr>
        <w:t xml:space="preserve">I. </w:t>
      </w:r>
      <w:r>
        <w:rPr>
          <w:rFonts w:asciiTheme="minorHAnsi" w:hAnsiTheme="minorHAnsi" w:cs="Arial"/>
          <w:b/>
          <w:bCs/>
        </w:rPr>
        <w:t>Options and e</w:t>
      </w:r>
      <w:r w:rsidRPr="00E441D9">
        <w:rPr>
          <w:rFonts w:asciiTheme="minorHAnsi" w:hAnsiTheme="minorHAnsi" w:cs="Arial"/>
          <w:b/>
          <w:bCs/>
        </w:rPr>
        <w:t>xamples</w:t>
      </w:r>
    </w:p>
    <w:tbl>
      <w:tblPr>
        <w:tblStyle w:val="TableGrid"/>
        <w:tblW w:w="0" w:type="auto"/>
        <w:tblLook w:val="04A0"/>
      </w:tblPr>
      <w:tblGrid>
        <w:gridCol w:w="6246"/>
        <w:gridCol w:w="3906"/>
      </w:tblGrid>
      <w:tr w:rsidR="00F404B5" w:rsidTr="00F94F03">
        <w:tc>
          <w:tcPr>
            <w:tcW w:w="0" w:type="auto"/>
          </w:tcPr>
          <w:p w:rsidR="00F94F03" w:rsidRPr="00E441D9" w:rsidRDefault="00F94F03" w:rsidP="00F94F03">
            <w:pPr>
              <w:rPr>
                <w:b/>
              </w:rPr>
            </w:pPr>
            <w:r w:rsidRPr="00E441D9">
              <w:rPr>
                <w:b/>
              </w:rPr>
              <w:t>Option A</w:t>
            </w:r>
          </w:p>
          <w:p w:rsidR="00F94F03" w:rsidRDefault="00F94F03" w:rsidP="00F94F03">
            <w:pPr>
              <w:rPr>
                <w:rFonts w:asciiTheme="minorHAnsi" w:hAnsiTheme="minorHAnsi"/>
                <w:i/>
              </w:rPr>
            </w:pPr>
            <w:r>
              <w:rPr>
                <w:rFonts w:asciiTheme="minorHAnsi" w:hAnsiTheme="minorHAnsi"/>
                <w:i/>
              </w:rPr>
              <w:t>As a default</w:t>
            </w:r>
            <w:r w:rsidRPr="00D80E61">
              <w:rPr>
                <w:rFonts w:asciiTheme="minorHAnsi" w:hAnsiTheme="minorHAnsi"/>
                <w:i/>
              </w:rPr>
              <w:t>, trades must occur</w:t>
            </w:r>
            <w:r>
              <w:rPr>
                <w:rFonts w:asciiTheme="minorHAnsi" w:hAnsiTheme="minorHAnsi"/>
                <w:i/>
              </w:rPr>
              <w:t xml:space="preserve"> upstream of the </w:t>
            </w:r>
            <w:r w:rsidR="001D1716">
              <w:rPr>
                <w:rFonts w:asciiTheme="minorHAnsi" w:hAnsiTheme="minorHAnsi"/>
                <w:i/>
              </w:rPr>
              <w:t>point of concern</w:t>
            </w:r>
            <w:r w:rsidRPr="00D80E61" w:rsidDel="006A73AD">
              <w:rPr>
                <w:rFonts w:asciiTheme="minorHAnsi" w:hAnsiTheme="minorHAnsi"/>
                <w:i/>
              </w:rPr>
              <w:t xml:space="preserve"> </w:t>
            </w:r>
            <w:r w:rsidRPr="00D80E61">
              <w:rPr>
                <w:rFonts w:asciiTheme="minorHAnsi" w:hAnsiTheme="minorHAnsi"/>
                <w:i/>
              </w:rPr>
              <w:t>within the same watershed or area defined by any applicable TMDL</w:t>
            </w:r>
            <w:r>
              <w:rPr>
                <w:rFonts w:asciiTheme="minorHAnsi" w:hAnsiTheme="minorHAnsi"/>
                <w:i/>
              </w:rPr>
              <w:t xml:space="preserve"> or other water quality strategy</w:t>
            </w:r>
            <w:r w:rsidRPr="00D80E61">
              <w:rPr>
                <w:rFonts w:asciiTheme="minorHAnsi" w:hAnsiTheme="minorHAnsi"/>
                <w:i/>
              </w:rPr>
              <w:t>.</w:t>
            </w:r>
          </w:p>
          <w:p w:rsidR="00F94F03" w:rsidRDefault="00F94F03" w:rsidP="00F94F03">
            <w:pPr>
              <w:rPr>
                <w:rFonts w:asciiTheme="minorHAnsi" w:hAnsiTheme="minorHAnsi"/>
                <w:i/>
              </w:rPr>
            </w:pPr>
          </w:p>
          <w:p w:rsidR="00F94F03" w:rsidRDefault="00695E16" w:rsidP="00F94F03">
            <w:pPr>
              <w:rPr>
                <w:rFonts w:asciiTheme="minorHAnsi" w:hAnsiTheme="minorHAnsi"/>
                <w:b/>
              </w:rPr>
            </w:pPr>
            <w:r>
              <w:rPr>
                <w:rFonts w:asciiTheme="minorHAnsi" w:hAnsiTheme="minorHAnsi"/>
                <w:b/>
              </w:rPr>
              <w:t>Who does it this way</w:t>
            </w:r>
            <w:r w:rsidR="00F94F03">
              <w:rPr>
                <w:rFonts w:asciiTheme="minorHAnsi" w:hAnsiTheme="minorHAnsi"/>
                <w:b/>
              </w:rPr>
              <w:t>?</w:t>
            </w:r>
          </w:p>
          <w:p w:rsidR="001D1716" w:rsidRDefault="001D1716" w:rsidP="00F94F03">
            <w:pPr>
              <w:rPr>
                <w:rFonts w:asciiTheme="minorHAnsi" w:hAnsiTheme="minorHAnsi"/>
              </w:rPr>
            </w:pPr>
            <w:r>
              <w:rPr>
                <w:rFonts w:asciiTheme="minorHAnsi" w:hAnsiTheme="minorHAnsi"/>
              </w:rPr>
              <w:t xml:space="preserve">The Medford NPDES permit requires that all trades for temperature be upstream of the point of </w:t>
            </w:r>
            <w:r w:rsidR="00F404B5">
              <w:rPr>
                <w:rFonts w:asciiTheme="minorHAnsi" w:hAnsiTheme="minorHAnsi"/>
              </w:rPr>
              <w:t xml:space="preserve">most concern for temperature, in this case, the </w:t>
            </w:r>
            <w:r w:rsidR="007D2CEE">
              <w:rPr>
                <w:rFonts w:asciiTheme="minorHAnsi" w:hAnsiTheme="minorHAnsi"/>
              </w:rPr>
              <w:t>point</w:t>
            </w:r>
            <w:r w:rsidR="00F404B5">
              <w:rPr>
                <w:rFonts w:asciiTheme="minorHAnsi" w:hAnsiTheme="minorHAnsi"/>
              </w:rPr>
              <w:t xml:space="preserve"> of </w:t>
            </w:r>
            <w:r>
              <w:rPr>
                <w:rFonts w:asciiTheme="minorHAnsi" w:hAnsiTheme="minorHAnsi"/>
              </w:rPr>
              <w:t xml:space="preserve">maximum impact (POMI), as defined in the Upper Rogue. This allows for trades in Bear Creek whose confluence with the Rogue River is downstream of Medford’s discharge and upstream of the POMI. </w:t>
            </w:r>
          </w:p>
          <w:p w:rsidR="001D1716" w:rsidRDefault="001D1716" w:rsidP="00F94F03">
            <w:pPr>
              <w:rPr>
                <w:rFonts w:asciiTheme="minorHAnsi" w:hAnsiTheme="minorHAnsi"/>
              </w:rPr>
            </w:pPr>
          </w:p>
          <w:p w:rsidR="00F94F03" w:rsidRPr="00F94F03" w:rsidRDefault="00F94F03" w:rsidP="00F94F03">
            <w:r>
              <w:rPr>
                <w:rFonts w:asciiTheme="minorHAnsi" w:hAnsiTheme="minorHAnsi"/>
              </w:rPr>
              <w:t>In the Boise River program, trades needed to be upstream of Parma, the point of compliance.</w:t>
            </w:r>
          </w:p>
        </w:tc>
        <w:tc>
          <w:tcPr>
            <w:tcW w:w="0" w:type="auto"/>
          </w:tcPr>
          <w:p w:rsidR="00F94F03" w:rsidRPr="00E441D9" w:rsidRDefault="00F94F03" w:rsidP="00F94F03">
            <w:pPr>
              <w:rPr>
                <w:b/>
              </w:rPr>
            </w:pPr>
            <w:r>
              <w:rPr>
                <w:b/>
              </w:rPr>
              <w:t>Option B</w:t>
            </w:r>
          </w:p>
          <w:p w:rsidR="00F94F03" w:rsidRDefault="00F94F03" w:rsidP="00F94F03">
            <w:pPr>
              <w:rPr>
                <w:rFonts w:asciiTheme="minorHAnsi" w:hAnsiTheme="minorHAnsi"/>
                <w:i/>
              </w:rPr>
            </w:pPr>
            <w:r>
              <w:rPr>
                <w:rFonts w:asciiTheme="minorHAnsi" w:hAnsiTheme="minorHAnsi"/>
                <w:i/>
              </w:rPr>
              <w:t>As a default</w:t>
            </w:r>
            <w:r w:rsidRPr="00D80E61">
              <w:rPr>
                <w:rFonts w:asciiTheme="minorHAnsi" w:hAnsiTheme="minorHAnsi"/>
                <w:i/>
              </w:rPr>
              <w:t>, trades must occur</w:t>
            </w:r>
            <w:r>
              <w:rPr>
                <w:rFonts w:asciiTheme="minorHAnsi" w:hAnsiTheme="minorHAnsi"/>
                <w:i/>
              </w:rPr>
              <w:t xml:space="preserve"> upstream of the point of discharge</w:t>
            </w:r>
            <w:r w:rsidRPr="00D80E61">
              <w:rPr>
                <w:rFonts w:asciiTheme="minorHAnsi" w:hAnsiTheme="minorHAnsi"/>
                <w:i/>
              </w:rPr>
              <w:t>.</w:t>
            </w:r>
          </w:p>
          <w:p w:rsidR="00F94F03" w:rsidRDefault="00F94F03" w:rsidP="00F94F03">
            <w:pPr>
              <w:rPr>
                <w:rFonts w:asciiTheme="minorHAnsi" w:hAnsiTheme="minorHAnsi"/>
                <w:i/>
              </w:rPr>
            </w:pPr>
          </w:p>
          <w:p w:rsidR="00F94F03" w:rsidRDefault="00F94F03" w:rsidP="00F94F03">
            <w:pPr>
              <w:rPr>
                <w:rFonts w:asciiTheme="minorHAnsi" w:hAnsiTheme="minorHAnsi"/>
                <w:b/>
              </w:rPr>
            </w:pPr>
            <w:r w:rsidRPr="00E441D9">
              <w:rPr>
                <w:rFonts w:asciiTheme="minorHAnsi" w:hAnsiTheme="minorHAnsi"/>
                <w:b/>
              </w:rPr>
              <w:t>Who does it this way?</w:t>
            </w:r>
          </w:p>
          <w:p w:rsidR="00F94F03" w:rsidRPr="00F94F03" w:rsidRDefault="00F94F03" w:rsidP="00F94F03">
            <w:pPr>
              <w:rPr>
                <w:rFonts w:asciiTheme="minorHAnsi" w:hAnsiTheme="minorHAnsi"/>
              </w:rPr>
            </w:pPr>
            <w:r>
              <w:rPr>
                <w:rFonts w:asciiTheme="minorHAnsi" w:hAnsiTheme="minorHAnsi"/>
              </w:rPr>
              <w:t>In the Great Miami program, all trades must be upstream of a discharge. There is no TMDL in the Great Miami River yet, so the upstream of discharge requirement helped simplify the program.</w:t>
            </w:r>
          </w:p>
        </w:tc>
      </w:tr>
    </w:tbl>
    <w:p w:rsidR="003D0FF2" w:rsidRPr="004D4D2A" w:rsidRDefault="003D0FF2" w:rsidP="00CC4CC7">
      <w:pPr>
        <w:pStyle w:val="Default"/>
        <w:spacing w:before="240" w:after="120"/>
        <w:rPr>
          <w:rFonts w:asciiTheme="minorHAnsi" w:hAnsiTheme="minorHAnsi"/>
          <w:b/>
        </w:rPr>
      </w:pPr>
      <w:r w:rsidRPr="004D4D2A">
        <w:rPr>
          <w:rFonts w:asciiTheme="minorHAnsi" w:hAnsiTheme="minorHAnsi"/>
          <w:b/>
        </w:rPr>
        <w:t xml:space="preserve">II. </w:t>
      </w:r>
      <w:r>
        <w:rPr>
          <w:rFonts w:asciiTheme="minorHAnsi" w:hAnsiTheme="minorHAnsi"/>
          <w:b/>
        </w:rPr>
        <w:t>Recommended d</w:t>
      </w:r>
      <w:r w:rsidRPr="004D4D2A">
        <w:rPr>
          <w:rFonts w:asciiTheme="minorHAnsi" w:hAnsiTheme="minorHAnsi"/>
          <w:b/>
        </w:rPr>
        <w:t>efault</w:t>
      </w:r>
    </w:p>
    <w:p w:rsidR="003D0FF2" w:rsidRDefault="003D0FF2" w:rsidP="003D0FF2">
      <w:pPr>
        <w:pStyle w:val="Default"/>
        <w:rPr>
          <w:rFonts w:asciiTheme="minorHAnsi" w:hAnsiTheme="minorHAnsi"/>
        </w:rPr>
      </w:pPr>
      <w:r>
        <w:rPr>
          <w:rFonts w:asciiTheme="minorHAnsi" w:hAnsiTheme="minorHAnsi"/>
        </w:rPr>
        <w:t xml:space="preserve">Option A seems to link trading areas most closely to TMDL and other water quality goals, </w:t>
      </w:r>
      <w:r w:rsidR="00CC4CC7">
        <w:rPr>
          <w:rFonts w:asciiTheme="minorHAnsi" w:hAnsiTheme="minorHAnsi"/>
        </w:rPr>
        <w:t>allowing for water quality improvements in all the areas th</w:t>
      </w:r>
      <w:r w:rsidR="00F404B5">
        <w:rPr>
          <w:rFonts w:asciiTheme="minorHAnsi" w:hAnsiTheme="minorHAnsi"/>
        </w:rPr>
        <w:t xml:space="preserve">at </w:t>
      </w:r>
      <w:r w:rsidR="00CC4CC7">
        <w:rPr>
          <w:rFonts w:asciiTheme="minorHAnsi" w:hAnsiTheme="minorHAnsi"/>
        </w:rPr>
        <w:t xml:space="preserve">contribute to </w:t>
      </w:r>
      <w:r w:rsidR="00F404B5">
        <w:rPr>
          <w:rFonts w:asciiTheme="minorHAnsi" w:hAnsiTheme="minorHAnsi"/>
        </w:rPr>
        <w:t xml:space="preserve">the watershed’s </w:t>
      </w:r>
      <w:r w:rsidR="007D2CEE">
        <w:rPr>
          <w:rFonts w:asciiTheme="minorHAnsi" w:hAnsiTheme="minorHAnsi"/>
        </w:rPr>
        <w:t>impairment</w:t>
      </w:r>
      <w:r w:rsidR="00F404B5">
        <w:rPr>
          <w:rFonts w:asciiTheme="minorHAnsi" w:hAnsiTheme="minorHAnsi"/>
        </w:rPr>
        <w:t>. I</w:t>
      </w:r>
      <w:r w:rsidR="00CC4CC7">
        <w:rPr>
          <w:rFonts w:asciiTheme="minorHAnsi" w:hAnsiTheme="minorHAnsi"/>
        </w:rPr>
        <w:t>t</w:t>
      </w:r>
      <w:r w:rsidR="00F404B5">
        <w:rPr>
          <w:rFonts w:asciiTheme="minorHAnsi" w:hAnsiTheme="minorHAnsi"/>
        </w:rPr>
        <w:t xml:space="preserve"> also allows </w:t>
      </w:r>
      <w:r>
        <w:rPr>
          <w:rFonts w:asciiTheme="minorHAnsi" w:hAnsiTheme="minorHAnsi"/>
        </w:rPr>
        <w:t>some flexibility for point sources closer to headwater.</w:t>
      </w:r>
    </w:p>
    <w:p w:rsidR="003D0FF2" w:rsidRDefault="003D0FF2" w:rsidP="003D0FF2">
      <w:pPr>
        <w:pStyle w:val="Default"/>
        <w:rPr>
          <w:rFonts w:asciiTheme="minorHAnsi" w:hAnsiTheme="minorHAnsi"/>
        </w:rPr>
      </w:pPr>
    </w:p>
    <w:p w:rsidR="00CC4CC7" w:rsidRDefault="003D0FF2" w:rsidP="00CC4CC7">
      <w:pPr>
        <w:pStyle w:val="Default"/>
        <w:spacing w:after="120"/>
        <w:rPr>
          <w:rFonts w:asciiTheme="minorHAnsi" w:hAnsiTheme="minorHAnsi"/>
          <w:b/>
        </w:rPr>
      </w:pPr>
      <w:r w:rsidRPr="004D4D2A">
        <w:rPr>
          <w:rFonts w:asciiTheme="minorHAnsi" w:hAnsiTheme="minorHAnsi"/>
          <w:b/>
        </w:rPr>
        <w:t>III. Reasons to deviate from the default</w:t>
      </w:r>
    </w:p>
    <w:p w:rsidR="003D0FF2" w:rsidRPr="00CC4CC7" w:rsidRDefault="003D0FF2" w:rsidP="00CC4CC7">
      <w:pPr>
        <w:pStyle w:val="Default"/>
        <w:rPr>
          <w:rFonts w:asciiTheme="minorHAnsi" w:hAnsiTheme="minorHAnsi"/>
          <w:b/>
        </w:rPr>
      </w:pPr>
      <w:r>
        <w:rPr>
          <w:rFonts w:asciiTheme="minorHAnsi" w:hAnsiTheme="minorHAnsi"/>
        </w:rPr>
        <w:lastRenderedPageBreak/>
        <w:t xml:space="preserve">There may be instances where </w:t>
      </w:r>
      <w:r w:rsidR="00CC4CC7">
        <w:rPr>
          <w:rFonts w:asciiTheme="minorHAnsi" w:hAnsiTheme="minorHAnsi"/>
        </w:rPr>
        <w:t xml:space="preserve">focused water quality improvements are needed with in a smaller area </w:t>
      </w:r>
      <w:r>
        <w:rPr>
          <w:rFonts w:asciiTheme="minorHAnsi" w:hAnsiTheme="minorHAnsi"/>
        </w:rPr>
        <w:t xml:space="preserve">than </w:t>
      </w:r>
      <w:r w:rsidR="007D2CEE">
        <w:rPr>
          <w:rFonts w:asciiTheme="minorHAnsi" w:hAnsiTheme="minorHAnsi"/>
        </w:rPr>
        <w:t>that upstream</w:t>
      </w:r>
      <w:r w:rsidR="00CC4CC7">
        <w:rPr>
          <w:rFonts w:asciiTheme="minorHAnsi" w:hAnsiTheme="minorHAnsi"/>
        </w:rPr>
        <w:t xml:space="preserve"> of the point of concern</w:t>
      </w:r>
      <w:r>
        <w:rPr>
          <w:rFonts w:asciiTheme="minorHAnsi" w:hAnsiTheme="minorHAnsi"/>
        </w:rPr>
        <w:t>. In those instances, a trading area may be made smaller to address these localized impacts or to incentivize investment in high priority watershed improvements</w:t>
      </w:r>
      <w:r w:rsidR="00CC4CC7">
        <w:rPr>
          <w:rFonts w:asciiTheme="minorHAnsi" w:hAnsiTheme="minorHAnsi"/>
        </w:rPr>
        <w:t>.</w:t>
      </w:r>
    </w:p>
    <w:p w:rsidR="003D0FF2" w:rsidRDefault="003D0FF2" w:rsidP="003D0FF2">
      <w:pPr>
        <w:pStyle w:val="Default"/>
        <w:rPr>
          <w:rFonts w:asciiTheme="minorHAnsi" w:hAnsiTheme="minorHAnsi"/>
        </w:rPr>
      </w:pPr>
    </w:p>
    <w:p w:rsidR="003D0FF2" w:rsidRDefault="003D0FF2" w:rsidP="003D0FF2">
      <w:pPr>
        <w:pStyle w:val="Default"/>
        <w:rPr>
          <w:rFonts w:asciiTheme="minorHAnsi" w:hAnsiTheme="minorHAnsi"/>
        </w:rPr>
      </w:pPr>
      <w:r>
        <w:rPr>
          <w:rFonts w:asciiTheme="minorHAnsi" w:hAnsiTheme="minorHAnsi"/>
        </w:rPr>
        <w:t>There may also be times where</w:t>
      </w:r>
      <w:r w:rsidR="00695E16">
        <w:rPr>
          <w:rFonts w:asciiTheme="minorHAnsi" w:hAnsiTheme="minorHAnsi"/>
        </w:rPr>
        <w:t xml:space="preserve"> </w:t>
      </w:r>
      <w:r>
        <w:rPr>
          <w:rFonts w:asciiTheme="minorHAnsi" w:hAnsiTheme="minorHAnsi"/>
        </w:rPr>
        <w:t>trading areas might be made larger than what are defi</w:t>
      </w:r>
      <w:r w:rsidR="00F404B5">
        <w:rPr>
          <w:rFonts w:asciiTheme="minorHAnsi" w:hAnsiTheme="minorHAnsi"/>
        </w:rPr>
        <w:t>ned in a TMDL to incentivize in</w:t>
      </w:r>
      <w:r>
        <w:rPr>
          <w:rFonts w:asciiTheme="minorHAnsi" w:hAnsiTheme="minorHAnsi"/>
        </w:rPr>
        <w:t>vestment in high priority areas.</w:t>
      </w:r>
      <w:r w:rsidR="00695E16">
        <w:rPr>
          <w:rFonts w:asciiTheme="minorHAnsi" w:hAnsiTheme="minorHAnsi"/>
        </w:rPr>
        <w:t xml:space="preserve"> </w:t>
      </w:r>
      <w:r>
        <w:rPr>
          <w:rFonts w:asciiTheme="minorHAnsi" w:hAnsiTheme="minorHAnsi"/>
        </w:rPr>
        <w:t>Any priority areas should be documented within a TMDL, developed in coordination with stakeholders, and made consistent with other water quality and conservation strategies as appropriate.</w:t>
      </w:r>
    </w:p>
    <w:p w:rsidR="00CC4CC7" w:rsidRPr="00CC4CC7" w:rsidRDefault="00CC4CC7" w:rsidP="00CC4CC7">
      <w:pPr>
        <w:pStyle w:val="Default"/>
        <w:spacing w:before="120"/>
        <w:rPr>
          <w:rFonts w:asciiTheme="minorHAnsi" w:hAnsiTheme="minorHAnsi"/>
        </w:rPr>
      </w:pPr>
      <w:r>
        <w:rPr>
          <w:rFonts w:asciiTheme="minorHAnsi" w:hAnsiTheme="minorHAnsi"/>
        </w:rPr>
        <w:t xml:space="preserve">In trading without a TMDL, the trading area may be determined </w:t>
      </w:r>
      <w:r w:rsidRPr="00CC4CC7">
        <w:rPr>
          <w:rFonts w:asciiTheme="minorHAnsi" w:hAnsiTheme="minorHAnsi"/>
        </w:rPr>
        <w:t>by an accepted analysis of the impacts of a specific proposed trade</w:t>
      </w:r>
      <w:r>
        <w:rPr>
          <w:rFonts w:asciiTheme="minorHAnsi" w:hAnsiTheme="minorHAnsi"/>
        </w:rPr>
        <w:t>.</w:t>
      </w:r>
    </w:p>
    <w:p w:rsidR="003D0FF2" w:rsidRPr="000E1E36" w:rsidRDefault="00726DDC" w:rsidP="00E206EB">
      <w:pPr>
        <w:pStyle w:val="Heading2"/>
        <w:rPr>
          <w:b/>
        </w:rPr>
      </w:pPr>
      <w:bookmarkStart w:id="4" w:name="_Toc352136092"/>
      <w:r w:rsidRPr="000E1E36">
        <w:rPr>
          <w:b/>
        </w:rPr>
        <w:t>1.4</w:t>
      </w:r>
      <w:r w:rsidR="00F94F03" w:rsidRPr="000E1E36">
        <w:rPr>
          <w:b/>
        </w:rPr>
        <w:t xml:space="preserve">. </w:t>
      </w:r>
      <w:r w:rsidR="003D0FF2" w:rsidRPr="000E1E36">
        <w:rPr>
          <w:b/>
        </w:rPr>
        <w:t>Eligible pollutants for trading</w:t>
      </w:r>
      <w:bookmarkEnd w:id="4"/>
    </w:p>
    <w:p w:rsidR="003D0FF2" w:rsidRDefault="003D0FF2" w:rsidP="003D0FF2">
      <w:pPr>
        <w:pStyle w:val="Default"/>
        <w:rPr>
          <w:rFonts w:asciiTheme="minorHAnsi" w:hAnsiTheme="minorHAnsi"/>
        </w:rPr>
      </w:pPr>
      <w:r>
        <w:rPr>
          <w:rFonts w:asciiTheme="minorHAnsi" w:hAnsiTheme="minorHAnsi"/>
        </w:rPr>
        <w:t xml:space="preserve">Not all pollutants can be traded. Most trading programs around the country focus on phosphorous and nutrients, and temperature trades have also occurred in the Northwest.  The section below defines eligible pollutants, units of trade, and other considerations. </w:t>
      </w:r>
    </w:p>
    <w:p w:rsidR="003D0FF2" w:rsidRPr="007E25D5" w:rsidRDefault="003D0FF2" w:rsidP="00695E16">
      <w:pPr>
        <w:pStyle w:val="Default"/>
        <w:spacing w:before="240" w:after="120"/>
        <w:rPr>
          <w:rFonts w:asciiTheme="minorHAnsi" w:hAnsiTheme="minorHAnsi" w:cs="Arial"/>
          <w:b/>
          <w:bCs/>
        </w:rPr>
      </w:pPr>
      <w:r w:rsidRPr="007E25D5">
        <w:rPr>
          <w:rFonts w:asciiTheme="minorHAnsi" w:hAnsiTheme="minorHAnsi" w:cs="Arial"/>
          <w:b/>
          <w:bCs/>
        </w:rPr>
        <w:t>I. Options and examples</w:t>
      </w:r>
    </w:p>
    <w:p w:rsidR="00695E16" w:rsidRDefault="00460A2F" w:rsidP="00695E16">
      <w:pPr>
        <w:pStyle w:val="Default"/>
        <w:spacing w:before="120" w:after="120"/>
        <w:rPr>
          <w:rFonts w:ascii="Calibri" w:hAnsi="Calibri"/>
        </w:rPr>
      </w:pPr>
      <w:r>
        <w:rPr>
          <w:rFonts w:asciiTheme="minorHAnsi" w:hAnsiTheme="minorHAnsi"/>
          <w:u w:val="single"/>
        </w:rPr>
        <w:t>a</w:t>
      </w:r>
      <w:r w:rsidRPr="00775398">
        <w:rPr>
          <w:rFonts w:asciiTheme="minorHAnsi" w:hAnsiTheme="minorHAnsi"/>
          <w:u w:val="single"/>
        </w:rPr>
        <w:t>. Nitrogen</w:t>
      </w:r>
      <w:r w:rsidR="003D0FF2">
        <w:rPr>
          <w:rFonts w:ascii="Calibri" w:hAnsi="Calibri"/>
          <w:u w:val="single"/>
        </w:rPr>
        <w:t xml:space="preserve"> and Phosphorous</w:t>
      </w:r>
      <w:r w:rsidR="003D0FF2" w:rsidRPr="00E50E71">
        <w:rPr>
          <w:rFonts w:ascii="Calibri" w:hAnsi="Calibri"/>
        </w:rPr>
        <w:t xml:space="preserve">: </w:t>
      </w:r>
    </w:p>
    <w:tbl>
      <w:tblPr>
        <w:tblStyle w:val="TableGrid"/>
        <w:tblW w:w="0" w:type="auto"/>
        <w:tblLook w:val="04A0"/>
      </w:tblPr>
      <w:tblGrid>
        <w:gridCol w:w="3384"/>
        <w:gridCol w:w="3384"/>
        <w:gridCol w:w="3384"/>
      </w:tblGrid>
      <w:tr w:rsidR="00695E16" w:rsidTr="00695E16">
        <w:tc>
          <w:tcPr>
            <w:tcW w:w="3384" w:type="dxa"/>
          </w:tcPr>
          <w:p w:rsidR="00695E16" w:rsidRPr="00695E16" w:rsidRDefault="00695E16" w:rsidP="00695E16">
            <w:pPr>
              <w:rPr>
                <w:b/>
              </w:rPr>
            </w:pPr>
            <w:r w:rsidRPr="001661A9">
              <w:rPr>
                <w:b/>
              </w:rPr>
              <w:t>Option A</w:t>
            </w:r>
            <w:r>
              <w:rPr>
                <w:b/>
              </w:rPr>
              <w:t>: TN,TP lbs/Year</w:t>
            </w:r>
          </w:p>
        </w:tc>
        <w:tc>
          <w:tcPr>
            <w:tcW w:w="3384" w:type="dxa"/>
          </w:tcPr>
          <w:p w:rsidR="00695E16" w:rsidRPr="00695E16" w:rsidRDefault="00695E16" w:rsidP="00695E16">
            <w:pPr>
              <w:rPr>
                <w:b/>
              </w:rPr>
            </w:pPr>
            <w:r w:rsidRPr="001661A9">
              <w:rPr>
                <w:b/>
              </w:rPr>
              <w:t>O</w:t>
            </w:r>
            <w:r>
              <w:rPr>
                <w:b/>
              </w:rPr>
              <w:t>ption B: TN,TP lbs/Season</w:t>
            </w:r>
          </w:p>
        </w:tc>
        <w:tc>
          <w:tcPr>
            <w:tcW w:w="3384" w:type="dxa"/>
          </w:tcPr>
          <w:p w:rsidR="00695E16" w:rsidRPr="00695E16" w:rsidRDefault="00695E16" w:rsidP="00695E16">
            <w:pPr>
              <w:rPr>
                <w:b/>
              </w:rPr>
            </w:pPr>
            <w:r w:rsidRPr="001661A9">
              <w:rPr>
                <w:b/>
              </w:rPr>
              <w:t>O</w:t>
            </w:r>
            <w:r>
              <w:rPr>
                <w:b/>
              </w:rPr>
              <w:t>ption C: Bioavailable P,N lbs</w:t>
            </w:r>
          </w:p>
        </w:tc>
      </w:tr>
    </w:tbl>
    <w:p w:rsidR="003D0FF2" w:rsidRDefault="00695E16" w:rsidP="00695E16">
      <w:pPr>
        <w:pStyle w:val="Default"/>
        <w:spacing w:before="240" w:after="120"/>
        <w:rPr>
          <w:rFonts w:ascii="Calibri" w:hAnsi="Calibri"/>
          <w:u w:val="single"/>
        </w:rPr>
      </w:pPr>
      <w:r>
        <w:rPr>
          <w:rFonts w:ascii="Calibri" w:hAnsi="Calibri"/>
          <w:u w:val="single"/>
        </w:rPr>
        <w:t>b</w:t>
      </w:r>
      <w:r w:rsidR="003D0FF2" w:rsidRPr="00816A72">
        <w:rPr>
          <w:rFonts w:ascii="Calibri" w:hAnsi="Calibri"/>
          <w:u w:val="single"/>
        </w:rPr>
        <w:t>. Oxygen-demanding parameters</w:t>
      </w:r>
    </w:p>
    <w:tbl>
      <w:tblPr>
        <w:tblStyle w:val="TableGrid"/>
        <w:tblW w:w="0" w:type="auto"/>
        <w:tblLook w:val="04A0"/>
      </w:tblPr>
      <w:tblGrid>
        <w:gridCol w:w="3384"/>
        <w:gridCol w:w="3384"/>
      </w:tblGrid>
      <w:tr w:rsidR="00695E16" w:rsidTr="00453310">
        <w:tc>
          <w:tcPr>
            <w:tcW w:w="3384" w:type="dxa"/>
          </w:tcPr>
          <w:p w:rsidR="00695E16" w:rsidRPr="00695E16" w:rsidRDefault="00695E16" w:rsidP="00453310">
            <w:pPr>
              <w:rPr>
                <w:b/>
              </w:rPr>
            </w:pPr>
            <w:r w:rsidRPr="001661A9">
              <w:rPr>
                <w:b/>
              </w:rPr>
              <w:t>Option A</w:t>
            </w:r>
            <w:r>
              <w:rPr>
                <w:b/>
              </w:rPr>
              <w:t>: mg/L BOD</w:t>
            </w:r>
          </w:p>
        </w:tc>
        <w:tc>
          <w:tcPr>
            <w:tcW w:w="3384" w:type="dxa"/>
          </w:tcPr>
          <w:p w:rsidR="00695E16" w:rsidRPr="00695E16" w:rsidRDefault="00695E16" w:rsidP="00453310">
            <w:pPr>
              <w:rPr>
                <w:b/>
              </w:rPr>
            </w:pPr>
            <w:r w:rsidRPr="001661A9">
              <w:rPr>
                <w:b/>
              </w:rPr>
              <w:t>O</w:t>
            </w:r>
            <w:r>
              <w:rPr>
                <w:b/>
              </w:rPr>
              <w:t>ption B</w:t>
            </w:r>
            <w:r w:rsidR="00460A2F">
              <w:rPr>
                <w:b/>
              </w:rPr>
              <w:t>:?</w:t>
            </w:r>
          </w:p>
        </w:tc>
      </w:tr>
    </w:tbl>
    <w:p w:rsidR="003D0FF2" w:rsidRDefault="00695E16" w:rsidP="00695E16">
      <w:pPr>
        <w:pStyle w:val="Default"/>
        <w:spacing w:before="240" w:after="120"/>
        <w:rPr>
          <w:rFonts w:ascii="Calibri" w:hAnsi="Calibri"/>
          <w:u w:val="single"/>
        </w:rPr>
      </w:pPr>
      <w:r>
        <w:rPr>
          <w:rFonts w:ascii="Calibri" w:hAnsi="Calibri"/>
          <w:u w:val="single"/>
        </w:rPr>
        <w:t>c</w:t>
      </w:r>
      <w:r w:rsidR="003D0FF2" w:rsidRPr="00816A72">
        <w:rPr>
          <w:rFonts w:ascii="Calibri" w:hAnsi="Calibri"/>
          <w:u w:val="single"/>
        </w:rPr>
        <w:t>. Sediment and total suspended solids (TSS)</w:t>
      </w:r>
    </w:p>
    <w:tbl>
      <w:tblPr>
        <w:tblStyle w:val="TableGrid"/>
        <w:tblW w:w="0" w:type="auto"/>
        <w:tblLook w:val="04A0"/>
      </w:tblPr>
      <w:tblGrid>
        <w:gridCol w:w="3384"/>
        <w:gridCol w:w="3384"/>
        <w:gridCol w:w="3384"/>
      </w:tblGrid>
      <w:tr w:rsidR="00695E16" w:rsidTr="00453310">
        <w:tc>
          <w:tcPr>
            <w:tcW w:w="3384" w:type="dxa"/>
          </w:tcPr>
          <w:p w:rsidR="00695E16" w:rsidRPr="00695E16" w:rsidRDefault="00695E16" w:rsidP="00695E16">
            <w:pPr>
              <w:rPr>
                <w:b/>
              </w:rPr>
            </w:pPr>
            <w:r w:rsidRPr="001661A9">
              <w:rPr>
                <w:b/>
              </w:rPr>
              <w:t>Option A</w:t>
            </w:r>
            <w:r>
              <w:rPr>
                <w:b/>
              </w:rPr>
              <w:t>: lbs/Year</w:t>
            </w:r>
          </w:p>
        </w:tc>
        <w:tc>
          <w:tcPr>
            <w:tcW w:w="3384" w:type="dxa"/>
          </w:tcPr>
          <w:p w:rsidR="00695E16" w:rsidRPr="00695E16" w:rsidRDefault="00695E16" w:rsidP="00695E16">
            <w:pPr>
              <w:rPr>
                <w:b/>
              </w:rPr>
            </w:pPr>
            <w:r w:rsidRPr="001661A9">
              <w:rPr>
                <w:b/>
              </w:rPr>
              <w:t>O</w:t>
            </w:r>
            <w:r>
              <w:rPr>
                <w:b/>
              </w:rPr>
              <w:t>ption B: lbs/Season</w:t>
            </w:r>
          </w:p>
        </w:tc>
        <w:tc>
          <w:tcPr>
            <w:tcW w:w="3384" w:type="dxa"/>
          </w:tcPr>
          <w:p w:rsidR="00695E16" w:rsidRPr="00695E16" w:rsidRDefault="00695E16" w:rsidP="00695E16">
            <w:pPr>
              <w:rPr>
                <w:b/>
              </w:rPr>
            </w:pPr>
            <w:r w:rsidRPr="001661A9">
              <w:rPr>
                <w:b/>
              </w:rPr>
              <w:t>O</w:t>
            </w:r>
            <w:r>
              <w:rPr>
                <w:b/>
              </w:rPr>
              <w:t>ption C: Turbidity?</w:t>
            </w:r>
          </w:p>
        </w:tc>
      </w:tr>
    </w:tbl>
    <w:p w:rsidR="003D0FF2" w:rsidRDefault="00695E16" w:rsidP="00695E16">
      <w:pPr>
        <w:pStyle w:val="Default"/>
        <w:spacing w:before="240" w:after="120"/>
        <w:rPr>
          <w:rFonts w:ascii="Calibri" w:hAnsi="Calibri"/>
          <w:color w:val="auto"/>
          <w:u w:val="single"/>
        </w:rPr>
      </w:pPr>
      <w:r>
        <w:rPr>
          <w:rFonts w:ascii="Calibri" w:hAnsi="Calibri"/>
          <w:color w:val="auto"/>
          <w:u w:val="single"/>
        </w:rPr>
        <w:t>d</w:t>
      </w:r>
      <w:r w:rsidR="003D0FF2" w:rsidRPr="00816A72">
        <w:rPr>
          <w:rFonts w:ascii="Calibri" w:hAnsi="Calibri"/>
          <w:color w:val="auto"/>
          <w:u w:val="single"/>
        </w:rPr>
        <w:t>. Thermal load</w:t>
      </w:r>
    </w:p>
    <w:tbl>
      <w:tblPr>
        <w:tblStyle w:val="TableGrid"/>
        <w:tblW w:w="0" w:type="auto"/>
        <w:tblLook w:val="04A0"/>
      </w:tblPr>
      <w:tblGrid>
        <w:gridCol w:w="3384"/>
        <w:gridCol w:w="3384"/>
        <w:gridCol w:w="3384"/>
      </w:tblGrid>
      <w:tr w:rsidR="00695E16" w:rsidTr="00453310">
        <w:tc>
          <w:tcPr>
            <w:tcW w:w="3384" w:type="dxa"/>
          </w:tcPr>
          <w:p w:rsidR="00695E16" w:rsidRPr="00695E16" w:rsidRDefault="00695E16" w:rsidP="00695E16">
            <w:pPr>
              <w:rPr>
                <w:b/>
              </w:rPr>
            </w:pPr>
            <w:r w:rsidRPr="001661A9">
              <w:rPr>
                <w:b/>
              </w:rPr>
              <w:t>Option A</w:t>
            </w:r>
            <w:r>
              <w:rPr>
                <w:b/>
              </w:rPr>
              <w:t>: KCAls/day</w:t>
            </w:r>
          </w:p>
        </w:tc>
        <w:tc>
          <w:tcPr>
            <w:tcW w:w="3384" w:type="dxa"/>
          </w:tcPr>
          <w:p w:rsidR="00695E16" w:rsidRPr="00695E16" w:rsidRDefault="00695E16" w:rsidP="00695E16">
            <w:pPr>
              <w:rPr>
                <w:b/>
              </w:rPr>
            </w:pPr>
            <w:r w:rsidRPr="001661A9">
              <w:rPr>
                <w:b/>
              </w:rPr>
              <w:t>O</w:t>
            </w:r>
            <w:r>
              <w:rPr>
                <w:b/>
              </w:rPr>
              <w:t>ption B: BTU</w:t>
            </w:r>
          </w:p>
        </w:tc>
        <w:tc>
          <w:tcPr>
            <w:tcW w:w="3384" w:type="dxa"/>
          </w:tcPr>
          <w:p w:rsidR="00695E16" w:rsidRPr="00695E16" w:rsidRDefault="00695E16" w:rsidP="00695E16">
            <w:pPr>
              <w:rPr>
                <w:b/>
              </w:rPr>
            </w:pPr>
            <w:r w:rsidRPr="001661A9">
              <w:rPr>
                <w:b/>
              </w:rPr>
              <w:t>O</w:t>
            </w:r>
            <w:r>
              <w:rPr>
                <w:b/>
              </w:rPr>
              <w:t>ption C: degrees C</w:t>
            </w:r>
          </w:p>
        </w:tc>
      </w:tr>
    </w:tbl>
    <w:p w:rsidR="003D0FF2" w:rsidRDefault="00695E16" w:rsidP="00695E16">
      <w:pPr>
        <w:pStyle w:val="Default"/>
        <w:spacing w:before="240" w:after="120"/>
        <w:rPr>
          <w:rFonts w:ascii="Calibri" w:hAnsi="Calibri"/>
          <w:color w:val="auto"/>
          <w:u w:val="single"/>
        </w:rPr>
      </w:pPr>
      <w:r>
        <w:rPr>
          <w:rFonts w:ascii="Calibri" w:hAnsi="Calibri"/>
          <w:color w:val="auto"/>
          <w:u w:val="single"/>
        </w:rPr>
        <w:t>e</w:t>
      </w:r>
      <w:r w:rsidR="003D0FF2" w:rsidRPr="00816A72">
        <w:rPr>
          <w:rFonts w:ascii="Calibri" w:hAnsi="Calibri"/>
          <w:color w:val="auto"/>
          <w:u w:val="single"/>
        </w:rPr>
        <w:t>. Toxics</w:t>
      </w:r>
    </w:p>
    <w:tbl>
      <w:tblPr>
        <w:tblStyle w:val="TableGrid"/>
        <w:tblW w:w="0" w:type="auto"/>
        <w:tblLook w:val="04A0"/>
      </w:tblPr>
      <w:tblGrid>
        <w:gridCol w:w="3384"/>
        <w:gridCol w:w="3384"/>
      </w:tblGrid>
      <w:tr w:rsidR="00695E16" w:rsidTr="00453310">
        <w:tc>
          <w:tcPr>
            <w:tcW w:w="3384" w:type="dxa"/>
          </w:tcPr>
          <w:p w:rsidR="00695E16" w:rsidRPr="00695E16" w:rsidRDefault="00695E16" w:rsidP="00453310">
            <w:pPr>
              <w:rPr>
                <w:b/>
              </w:rPr>
            </w:pPr>
            <w:r w:rsidRPr="001661A9">
              <w:rPr>
                <w:b/>
              </w:rPr>
              <w:t>Option A</w:t>
            </w:r>
            <w:r>
              <w:rPr>
                <w:b/>
              </w:rPr>
              <w:t>: no trades</w:t>
            </w:r>
          </w:p>
        </w:tc>
        <w:tc>
          <w:tcPr>
            <w:tcW w:w="3384" w:type="dxa"/>
          </w:tcPr>
          <w:p w:rsidR="00695E16" w:rsidRPr="00695E16" w:rsidRDefault="00695E16" w:rsidP="00453310">
            <w:pPr>
              <w:rPr>
                <w:b/>
              </w:rPr>
            </w:pPr>
            <w:r w:rsidRPr="001661A9">
              <w:rPr>
                <w:b/>
              </w:rPr>
              <w:t>O</w:t>
            </w:r>
            <w:r>
              <w:rPr>
                <w:b/>
              </w:rPr>
              <w:t>ption B: concentrations</w:t>
            </w:r>
          </w:p>
        </w:tc>
      </w:tr>
    </w:tbl>
    <w:p w:rsidR="003D0FF2" w:rsidRDefault="003D0FF2" w:rsidP="003D0FF2">
      <w:pPr>
        <w:pStyle w:val="Default"/>
        <w:rPr>
          <w:rFonts w:ascii="Calibri" w:hAnsi="Calibri"/>
          <w:b/>
          <w:color w:val="auto"/>
        </w:rPr>
      </w:pPr>
    </w:p>
    <w:p w:rsidR="003D0FF2" w:rsidRPr="00594285" w:rsidRDefault="00695E16" w:rsidP="003D0FF2">
      <w:pPr>
        <w:pStyle w:val="Default"/>
        <w:rPr>
          <w:rFonts w:ascii="Calibri" w:hAnsi="Calibri"/>
          <w:color w:val="auto"/>
        </w:rPr>
      </w:pPr>
      <w:r>
        <w:rPr>
          <w:rFonts w:ascii="Calibri" w:hAnsi="Calibri"/>
          <w:color w:val="auto"/>
          <w:u w:val="single"/>
        </w:rPr>
        <w:t>Questions to consider:</w:t>
      </w:r>
      <w:r w:rsidR="003D0FF2">
        <w:rPr>
          <w:rFonts w:ascii="Calibri" w:hAnsi="Calibri"/>
          <w:color w:val="auto"/>
        </w:rPr>
        <w:t xml:space="preserve"> Is setting default eligible pollutants, units, and seasonality useful? </w:t>
      </w:r>
      <w:r w:rsidR="00F404B5">
        <w:rPr>
          <w:rFonts w:ascii="Calibri" w:hAnsi="Calibri"/>
          <w:color w:val="auto"/>
        </w:rPr>
        <w:t>Most trading programs trade in t</w:t>
      </w:r>
      <w:r w:rsidR="003D0FF2">
        <w:rPr>
          <w:rFonts w:ascii="Calibri" w:hAnsi="Calibri"/>
          <w:color w:val="auto"/>
        </w:rPr>
        <w:t>otal nutrients/year. Many of the nutrient trading discussions in the West are looking closely at seasonal challenges with nutrients as a proxy for dissolved oxygen problems? Do we want to consider other units of trade more closely tied to dissolved oxygen?</w:t>
      </w:r>
    </w:p>
    <w:p w:rsidR="003D0FF2" w:rsidRPr="00594285" w:rsidRDefault="003D0FF2" w:rsidP="003D0FF2">
      <w:pPr>
        <w:pStyle w:val="Default"/>
        <w:rPr>
          <w:rFonts w:ascii="Calibri" w:hAnsi="Calibri"/>
          <w:color w:val="auto"/>
        </w:rPr>
      </w:pPr>
    </w:p>
    <w:p w:rsidR="003D0FF2" w:rsidRPr="004D4D2A" w:rsidRDefault="003D0FF2" w:rsidP="003D0FF2">
      <w:pPr>
        <w:pStyle w:val="Default"/>
        <w:rPr>
          <w:rFonts w:asciiTheme="minorHAnsi" w:hAnsiTheme="minorHAnsi"/>
          <w:b/>
        </w:rPr>
      </w:pPr>
      <w:r w:rsidRPr="004D4D2A">
        <w:rPr>
          <w:rFonts w:asciiTheme="minorHAnsi" w:hAnsiTheme="minorHAnsi"/>
          <w:b/>
        </w:rPr>
        <w:t xml:space="preserve">II. </w:t>
      </w:r>
      <w:r>
        <w:rPr>
          <w:rFonts w:asciiTheme="minorHAnsi" w:hAnsiTheme="minorHAnsi"/>
          <w:b/>
        </w:rPr>
        <w:t>Recommended d</w:t>
      </w:r>
      <w:r w:rsidRPr="004D4D2A">
        <w:rPr>
          <w:rFonts w:asciiTheme="minorHAnsi" w:hAnsiTheme="minorHAnsi"/>
          <w:b/>
        </w:rPr>
        <w:t>efault</w:t>
      </w:r>
    </w:p>
    <w:p w:rsidR="003D0FF2" w:rsidRDefault="003D0FF2" w:rsidP="003D0FF2">
      <w:pPr>
        <w:pStyle w:val="Default"/>
        <w:rPr>
          <w:rFonts w:asciiTheme="minorHAnsi" w:hAnsiTheme="minorHAnsi"/>
        </w:rPr>
      </w:pPr>
      <w:r>
        <w:rPr>
          <w:rFonts w:asciiTheme="minorHAnsi" w:hAnsiTheme="minorHAnsi"/>
        </w:rPr>
        <w:t>Eligible pollutants for trading include nutrients, oxygen-demanding parameters, sediment, and temperature. For each of these pollutants, default units and seasonality will be defined in a TMDL or other water quality strategy</w:t>
      </w:r>
      <w:r w:rsidR="00CC4CC7">
        <w:rPr>
          <w:rFonts w:asciiTheme="minorHAnsi" w:hAnsiTheme="minorHAnsi"/>
        </w:rPr>
        <w:t xml:space="preserve"> </w:t>
      </w:r>
      <w:r w:rsidR="00F404B5">
        <w:rPr>
          <w:rFonts w:asciiTheme="minorHAnsi" w:hAnsiTheme="minorHAnsi"/>
        </w:rPr>
        <w:t>(</w:t>
      </w:r>
      <w:r w:rsidR="00CC4CC7">
        <w:rPr>
          <w:rFonts w:asciiTheme="minorHAnsi" w:hAnsiTheme="minorHAnsi"/>
        </w:rPr>
        <w:t>and</w:t>
      </w:r>
      <w:r w:rsidR="00F404B5">
        <w:rPr>
          <w:rFonts w:asciiTheme="minorHAnsi" w:hAnsiTheme="minorHAnsi"/>
        </w:rPr>
        <w:t xml:space="preserve"> be</w:t>
      </w:r>
      <w:r w:rsidR="00CC4CC7">
        <w:rPr>
          <w:rFonts w:asciiTheme="minorHAnsi" w:hAnsiTheme="minorHAnsi"/>
        </w:rPr>
        <w:t xml:space="preserve"> units that are needed for NPDES reporting</w:t>
      </w:r>
      <w:r w:rsidR="00F404B5">
        <w:rPr>
          <w:rFonts w:asciiTheme="minorHAnsi" w:hAnsiTheme="minorHAnsi"/>
        </w:rPr>
        <w:t>)</w:t>
      </w:r>
      <w:r>
        <w:rPr>
          <w:rFonts w:asciiTheme="minorHAnsi" w:hAnsiTheme="minorHAnsi"/>
        </w:rPr>
        <w:t xml:space="preserve">. In general, units are lbs of TN, TP, and sediment per year; and KCAL/day. Whether a unit is expressed as an annual </w:t>
      </w:r>
      <w:r>
        <w:rPr>
          <w:rFonts w:asciiTheme="minorHAnsi" w:hAnsiTheme="minorHAnsi"/>
        </w:rPr>
        <w:lastRenderedPageBreak/>
        <w:t xml:space="preserve">average or based on a critical </w:t>
      </w:r>
      <w:r w:rsidR="00F404B5">
        <w:rPr>
          <w:rFonts w:asciiTheme="minorHAnsi" w:hAnsiTheme="minorHAnsi"/>
        </w:rPr>
        <w:t xml:space="preserve">time period, it </w:t>
      </w:r>
      <w:r>
        <w:rPr>
          <w:rFonts w:asciiTheme="minorHAnsi" w:hAnsiTheme="minorHAnsi"/>
        </w:rPr>
        <w:t>needs to be based on the ecological conditions and needs</w:t>
      </w:r>
      <w:r w:rsidR="00F404B5">
        <w:rPr>
          <w:rFonts w:asciiTheme="minorHAnsi" w:hAnsiTheme="minorHAnsi"/>
        </w:rPr>
        <w:t xml:space="preserve"> expressed</w:t>
      </w:r>
      <w:r>
        <w:rPr>
          <w:rFonts w:asciiTheme="minorHAnsi" w:hAnsiTheme="minorHAnsi"/>
        </w:rPr>
        <w:t xml:space="preserve"> in the TMDL. </w:t>
      </w:r>
    </w:p>
    <w:p w:rsidR="003D0FF2" w:rsidRDefault="003D0FF2" w:rsidP="003D0FF2">
      <w:pPr>
        <w:pStyle w:val="Default"/>
        <w:rPr>
          <w:rFonts w:asciiTheme="minorHAnsi" w:hAnsiTheme="minorHAnsi"/>
        </w:rPr>
      </w:pPr>
    </w:p>
    <w:p w:rsidR="003D0FF2" w:rsidRPr="004D4D2A" w:rsidRDefault="003D0FF2" w:rsidP="003D0FF2">
      <w:pPr>
        <w:pStyle w:val="Default"/>
        <w:rPr>
          <w:rFonts w:asciiTheme="minorHAnsi" w:hAnsiTheme="minorHAnsi"/>
          <w:b/>
        </w:rPr>
      </w:pPr>
      <w:r w:rsidRPr="004D4D2A">
        <w:rPr>
          <w:rFonts w:asciiTheme="minorHAnsi" w:hAnsiTheme="minorHAnsi"/>
          <w:b/>
        </w:rPr>
        <w:t>III. Reasons to deviate from the default</w:t>
      </w:r>
    </w:p>
    <w:p w:rsidR="003D0FF2" w:rsidRPr="00F404B5" w:rsidRDefault="003D0FF2" w:rsidP="003D0FF2">
      <w:pPr>
        <w:pStyle w:val="Default"/>
        <w:rPr>
          <w:rFonts w:asciiTheme="minorHAnsi" w:hAnsiTheme="minorHAnsi" w:cstheme="minorHAnsi"/>
          <w:b/>
          <w:i/>
        </w:rPr>
      </w:pPr>
      <w:r w:rsidRPr="00F404B5">
        <w:rPr>
          <w:rFonts w:asciiTheme="minorHAnsi" w:hAnsiTheme="minorHAnsi" w:cstheme="minorHAnsi"/>
        </w:rPr>
        <w:t xml:space="preserve">For nutrients, looking at TN and TP per year allows for more BMPs to match up with point source discharges. In many places, farm BMPs reduce nutrients during rainy times in the Spring and point source discharges create problems in the late summer or early fall. This seasonal mismatch can be overcome looking at annual averages. However, if problems in the </w:t>
      </w:r>
      <w:r w:rsidR="00460A2F" w:rsidRPr="00F404B5">
        <w:rPr>
          <w:rFonts w:asciiTheme="minorHAnsi" w:hAnsiTheme="minorHAnsi" w:cstheme="minorHAnsi"/>
        </w:rPr>
        <w:t>water body</w:t>
      </w:r>
      <w:r w:rsidRPr="00F404B5">
        <w:rPr>
          <w:rFonts w:asciiTheme="minorHAnsi" w:hAnsiTheme="minorHAnsi" w:cstheme="minorHAnsi"/>
        </w:rPr>
        <w:t xml:space="preserve"> are seasonal, springtime reductions may not help with a summertime problem. In addition, some point sources may favor seasonal limits, which might allow for higher discharges at times of higher flow.</w:t>
      </w:r>
    </w:p>
    <w:p w:rsidR="003D0FF2" w:rsidRPr="00CC4CC7" w:rsidRDefault="00726DDC" w:rsidP="00E206EB">
      <w:pPr>
        <w:pStyle w:val="Heading2"/>
        <w:rPr>
          <w:b/>
        </w:rPr>
      </w:pPr>
      <w:bookmarkStart w:id="5" w:name="_Toc352136093"/>
      <w:r w:rsidRPr="00CC4CC7">
        <w:rPr>
          <w:b/>
        </w:rPr>
        <w:t>1.5</w:t>
      </w:r>
      <w:r w:rsidR="00F94F03" w:rsidRPr="00CC4CC7">
        <w:rPr>
          <w:b/>
        </w:rPr>
        <w:t xml:space="preserve">. </w:t>
      </w:r>
      <w:r w:rsidR="003D0FF2" w:rsidRPr="00CC4CC7">
        <w:rPr>
          <w:b/>
        </w:rPr>
        <w:t>Eligible credit-generating actions</w:t>
      </w:r>
      <w:bookmarkEnd w:id="5"/>
    </w:p>
    <w:p w:rsidR="003D0FF2" w:rsidRPr="00B44A66" w:rsidRDefault="00CC4CC7" w:rsidP="008B1D44">
      <w:pPr>
        <w:pStyle w:val="Default"/>
        <w:rPr>
          <w:rFonts w:asciiTheme="minorHAnsi" w:hAnsiTheme="minorHAnsi" w:cs="Arial"/>
          <w:b/>
          <w:bCs/>
        </w:rPr>
      </w:pPr>
      <w:r>
        <w:rPr>
          <w:rFonts w:asciiTheme="minorHAnsi" w:hAnsiTheme="minorHAnsi"/>
        </w:rPr>
        <w:t xml:space="preserve">Since not all BMPs can generate credits, it’s important to develop a system that identifies and promotes those BMPs most effective in improving water quality in each watershed. Some BMPs only generate marginal water quality improvements, others might reduce pollution but impact other ecological processes of concern, and some BMPs do not have the science available to be confident in the quantity of pollutant they reduce.  A process for identifying eligible BMPs, and incorporating new eligible BMPs or improvements to existing BMPs, is important.  </w:t>
      </w:r>
      <w:r w:rsidR="007D2CEE">
        <w:rPr>
          <w:rFonts w:asciiTheme="minorHAnsi" w:hAnsiTheme="minorHAnsi"/>
        </w:rPr>
        <w:t>A list</w:t>
      </w:r>
      <w:r>
        <w:rPr>
          <w:rFonts w:asciiTheme="minorHAnsi" w:hAnsiTheme="minorHAnsi"/>
        </w:rPr>
        <w:t xml:space="preserve"> of eligible BMPs </w:t>
      </w:r>
      <w:r w:rsidR="008B1D44">
        <w:rPr>
          <w:rFonts w:asciiTheme="minorHAnsi" w:hAnsiTheme="minorHAnsi"/>
        </w:rPr>
        <w:t>provides certainty about which activities are qualified and can be used to communicate</w:t>
      </w:r>
      <w:r>
        <w:rPr>
          <w:rFonts w:asciiTheme="minorHAnsi" w:hAnsiTheme="minorHAnsi"/>
        </w:rPr>
        <w:t xml:space="preserve"> criteria </w:t>
      </w:r>
      <w:r w:rsidR="00F404B5">
        <w:rPr>
          <w:rFonts w:asciiTheme="minorHAnsi" w:hAnsiTheme="minorHAnsi"/>
        </w:rPr>
        <w:t>for effectiveness</w:t>
      </w:r>
      <w:r>
        <w:rPr>
          <w:rFonts w:asciiTheme="minorHAnsi" w:hAnsiTheme="minorHAnsi"/>
        </w:rPr>
        <w:t>, design and maintenance standards, etc</w:t>
      </w:r>
      <w:r w:rsidR="008B1D44">
        <w:rPr>
          <w:rFonts w:asciiTheme="minorHAnsi" w:hAnsiTheme="minorHAnsi"/>
        </w:rPr>
        <w:t>. (</w:t>
      </w:r>
      <w:r w:rsidR="00F404B5">
        <w:rPr>
          <w:rFonts w:asciiTheme="minorHAnsi" w:hAnsiTheme="minorHAnsi"/>
        </w:rPr>
        <w:t>p</w:t>
      </w:r>
      <w:r w:rsidR="008B1D44">
        <w:rPr>
          <w:rFonts w:asciiTheme="minorHAnsi" w:hAnsiTheme="minorHAnsi"/>
        </w:rPr>
        <w:t xml:space="preserve">roject implementation and quality standards are discussed the </w:t>
      </w:r>
      <w:r w:rsidR="00F404B5">
        <w:rPr>
          <w:rFonts w:asciiTheme="minorHAnsi" w:hAnsiTheme="minorHAnsi"/>
        </w:rPr>
        <w:t>discussion guide</w:t>
      </w:r>
      <w:r w:rsidR="008B1D44">
        <w:rPr>
          <w:rFonts w:asciiTheme="minorHAnsi" w:hAnsiTheme="minorHAnsi"/>
        </w:rPr>
        <w:t xml:space="preserve"> for </w:t>
      </w:r>
      <w:r w:rsidR="00F404B5">
        <w:rPr>
          <w:rFonts w:asciiTheme="minorHAnsi" w:hAnsiTheme="minorHAnsi"/>
        </w:rPr>
        <w:t>q</w:t>
      </w:r>
      <w:r w:rsidR="008B1D44">
        <w:rPr>
          <w:rFonts w:asciiTheme="minorHAnsi" w:hAnsiTheme="minorHAnsi"/>
        </w:rPr>
        <w:t xml:space="preserve">uality </w:t>
      </w:r>
      <w:r w:rsidR="00F404B5">
        <w:rPr>
          <w:rFonts w:asciiTheme="minorHAnsi" w:hAnsiTheme="minorHAnsi"/>
        </w:rPr>
        <w:t>a</w:t>
      </w:r>
      <w:r w:rsidR="008B1D44">
        <w:rPr>
          <w:rFonts w:asciiTheme="minorHAnsi" w:hAnsiTheme="minorHAnsi"/>
        </w:rPr>
        <w:t>ssurance).</w:t>
      </w:r>
    </w:p>
    <w:p w:rsidR="003D0FF2" w:rsidRDefault="006724CB" w:rsidP="006724CB">
      <w:pPr>
        <w:pStyle w:val="Default"/>
        <w:spacing w:before="240" w:after="120"/>
        <w:rPr>
          <w:rFonts w:ascii="Calibri" w:hAnsi="Calibri"/>
        </w:rPr>
      </w:pPr>
      <w:r>
        <w:rPr>
          <w:rFonts w:asciiTheme="minorHAnsi" w:hAnsiTheme="minorHAnsi"/>
          <w:u w:val="single"/>
        </w:rPr>
        <w:t xml:space="preserve">How does a BMP become eligible to generate </w:t>
      </w:r>
      <w:r w:rsidR="00460A2F">
        <w:rPr>
          <w:rFonts w:asciiTheme="minorHAnsi" w:hAnsiTheme="minorHAnsi"/>
          <w:u w:val="single"/>
        </w:rPr>
        <w:t>credits</w:t>
      </w:r>
      <w:r w:rsidR="00460A2F" w:rsidRPr="00E50E71">
        <w:rPr>
          <w:rFonts w:ascii="Calibri" w:hAnsi="Calibri"/>
        </w:rPr>
        <w:t>?</w:t>
      </w:r>
      <w:r w:rsidR="003D0FF2" w:rsidRPr="00E50E71">
        <w:rPr>
          <w:rFonts w:ascii="Calibri" w:hAnsi="Calibri"/>
        </w:rPr>
        <w:t xml:space="preserve"> </w:t>
      </w:r>
    </w:p>
    <w:tbl>
      <w:tblPr>
        <w:tblStyle w:val="TableGrid"/>
        <w:tblW w:w="0" w:type="auto"/>
        <w:tblLook w:val="04A0"/>
      </w:tblPr>
      <w:tblGrid>
        <w:gridCol w:w="5414"/>
        <w:gridCol w:w="4738"/>
      </w:tblGrid>
      <w:tr w:rsidR="009C755C" w:rsidTr="009C755C">
        <w:trPr>
          <w:trHeight w:val="1754"/>
        </w:trPr>
        <w:tc>
          <w:tcPr>
            <w:tcW w:w="5414" w:type="dxa"/>
          </w:tcPr>
          <w:p w:rsidR="009C755C" w:rsidRDefault="009C755C" w:rsidP="006724CB">
            <w:pPr>
              <w:rPr>
                <w:b/>
              </w:rPr>
            </w:pPr>
            <w:r w:rsidRPr="001661A9">
              <w:rPr>
                <w:b/>
              </w:rPr>
              <w:t>Option A</w:t>
            </w:r>
            <w:r>
              <w:rPr>
                <w:b/>
              </w:rPr>
              <w:t xml:space="preserve">: </w:t>
            </w:r>
          </w:p>
          <w:p w:rsidR="009C755C" w:rsidRDefault="009C755C" w:rsidP="006724CB">
            <w:pPr>
              <w:rPr>
                <w:rFonts w:asciiTheme="minorHAnsi" w:hAnsiTheme="minorHAnsi"/>
                <w:i/>
              </w:rPr>
            </w:pPr>
            <w:r w:rsidRPr="005031D7">
              <w:rPr>
                <w:rFonts w:asciiTheme="minorHAnsi" w:hAnsiTheme="minorHAnsi"/>
                <w:i/>
              </w:rPr>
              <w:t xml:space="preserve">Credit-generating actions </w:t>
            </w:r>
            <w:r w:rsidRPr="005031D7">
              <w:rPr>
                <w:i/>
              </w:rPr>
              <w:t xml:space="preserve">must be </w:t>
            </w:r>
            <w:r>
              <w:rPr>
                <w:i/>
              </w:rPr>
              <w:t xml:space="preserve">approved by a state agency or third party, be </w:t>
            </w:r>
            <w:r w:rsidRPr="005031D7">
              <w:rPr>
                <w:i/>
              </w:rPr>
              <w:t xml:space="preserve">consistent with </w:t>
            </w:r>
            <w:r w:rsidRPr="005031D7">
              <w:rPr>
                <w:rFonts w:asciiTheme="minorHAnsi" w:hAnsiTheme="minorHAnsi"/>
                <w:i/>
              </w:rPr>
              <w:t>quality standards</w:t>
            </w:r>
            <w:r>
              <w:rPr>
                <w:rFonts w:asciiTheme="minorHAnsi" w:hAnsiTheme="minorHAnsi"/>
                <w:i/>
              </w:rPr>
              <w:t>,</w:t>
            </w:r>
            <w:r w:rsidRPr="005031D7">
              <w:rPr>
                <w:rFonts w:asciiTheme="minorHAnsi" w:hAnsiTheme="minorHAnsi"/>
                <w:i/>
              </w:rPr>
              <w:t xml:space="preserve"> </w:t>
            </w:r>
            <w:r>
              <w:rPr>
                <w:rFonts w:asciiTheme="minorHAnsi" w:hAnsiTheme="minorHAnsi"/>
                <w:i/>
              </w:rPr>
              <w:t xml:space="preserve">have </w:t>
            </w:r>
            <w:r w:rsidR="003163B9">
              <w:rPr>
                <w:rFonts w:asciiTheme="minorHAnsi" w:hAnsiTheme="minorHAnsi"/>
                <w:i/>
              </w:rPr>
              <w:t xml:space="preserve">eligibility requirements, and have </w:t>
            </w:r>
            <w:r>
              <w:rPr>
                <w:rFonts w:asciiTheme="minorHAnsi" w:hAnsiTheme="minorHAnsi"/>
                <w:i/>
              </w:rPr>
              <w:t xml:space="preserve">an approved </w:t>
            </w:r>
            <w:r w:rsidRPr="005031D7">
              <w:rPr>
                <w:rFonts w:asciiTheme="minorHAnsi" w:hAnsiTheme="minorHAnsi"/>
                <w:i/>
              </w:rPr>
              <w:t>quantification method</w:t>
            </w:r>
            <w:r>
              <w:rPr>
                <w:rFonts w:asciiTheme="minorHAnsi" w:hAnsiTheme="minorHAnsi"/>
                <w:i/>
              </w:rPr>
              <w:t>.</w:t>
            </w:r>
            <w:r w:rsidR="008B1D44">
              <w:rPr>
                <w:rFonts w:asciiTheme="minorHAnsi" w:hAnsiTheme="minorHAnsi"/>
                <w:i/>
              </w:rPr>
              <w:t xml:space="preserve"> BMPs will be identified as suitable for specific types of watersheds or ecoregions.</w:t>
            </w:r>
          </w:p>
          <w:p w:rsidR="009C755C" w:rsidRDefault="009C755C" w:rsidP="006724CB">
            <w:pPr>
              <w:rPr>
                <w:rFonts w:asciiTheme="minorHAnsi" w:hAnsiTheme="minorHAnsi"/>
                <w:i/>
              </w:rPr>
            </w:pPr>
          </w:p>
          <w:p w:rsidR="009C755C" w:rsidRDefault="009C755C" w:rsidP="006724CB">
            <w:pPr>
              <w:rPr>
                <w:rFonts w:asciiTheme="minorHAnsi" w:hAnsiTheme="minorHAnsi"/>
                <w:b/>
              </w:rPr>
            </w:pPr>
            <w:r>
              <w:rPr>
                <w:rFonts w:asciiTheme="minorHAnsi" w:hAnsiTheme="minorHAnsi"/>
                <w:b/>
              </w:rPr>
              <w:t>Who does it this way?</w:t>
            </w:r>
          </w:p>
          <w:p w:rsidR="009C755C" w:rsidRDefault="009C755C" w:rsidP="00B556DF">
            <w:pPr>
              <w:spacing w:after="120"/>
            </w:pPr>
            <w:r>
              <w:rPr>
                <w:rFonts w:asciiTheme="minorHAnsi" w:hAnsiTheme="minorHAnsi"/>
              </w:rPr>
              <w:t xml:space="preserve">Willamette Partnership incorporates </w:t>
            </w:r>
            <w:r w:rsidR="00F404B5">
              <w:rPr>
                <w:rFonts w:asciiTheme="minorHAnsi" w:hAnsiTheme="minorHAnsi"/>
              </w:rPr>
              <w:t>BMPs</w:t>
            </w:r>
            <w:r>
              <w:rPr>
                <w:rFonts w:asciiTheme="minorHAnsi" w:hAnsiTheme="minorHAnsi"/>
              </w:rPr>
              <w:t xml:space="preserve"> for which there is state-</w:t>
            </w:r>
            <w:r w:rsidR="00F404B5">
              <w:rPr>
                <w:rFonts w:asciiTheme="minorHAnsi" w:hAnsiTheme="minorHAnsi"/>
              </w:rPr>
              <w:t xml:space="preserve">approved quantification method and </w:t>
            </w:r>
            <w:r>
              <w:rPr>
                <w:rFonts w:asciiTheme="minorHAnsi" w:hAnsiTheme="minorHAnsi"/>
              </w:rPr>
              <w:t xml:space="preserve">protocols for applying the quantification </w:t>
            </w:r>
            <w:r w:rsidR="00460A2F">
              <w:rPr>
                <w:rFonts w:asciiTheme="minorHAnsi" w:hAnsiTheme="minorHAnsi"/>
              </w:rPr>
              <w:t>methods,</w:t>
            </w:r>
            <w:r>
              <w:rPr>
                <w:rFonts w:asciiTheme="minorHAnsi" w:hAnsiTheme="minorHAnsi"/>
              </w:rPr>
              <w:t xml:space="preserve"> quality standards</w:t>
            </w:r>
            <w:r w:rsidR="00F404B5">
              <w:rPr>
                <w:rFonts w:asciiTheme="minorHAnsi" w:hAnsiTheme="minorHAnsi"/>
              </w:rPr>
              <w:t>,</w:t>
            </w:r>
            <w:r>
              <w:rPr>
                <w:rFonts w:asciiTheme="minorHAnsi" w:hAnsiTheme="minorHAnsi"/>
              </w:rPr>
              <w:t xml:space="preserve"> and a verification protocol are in place.</w:t>
            </w:r>
          </w:p>
        </w:tc>
        <w:tc>
          <w:tcPr>
            <w:tcW w:w="4738" w:type="dxa"/>
          </w:tcPr>
          <w:p w:rsidR="009C755C" w:rsidRDefault="009C755C" w:rsidP="009C755C">
            <w:pPr>
              <w:rPr>
                <w:b/>
              </w:rPr>
            </w:pPr>
            <w:r w:rsidRPr="001661A9">
              <w:rPr>
                <w:b/>
              </w:rPr>
              <w:t>O</w:t>
            </w:r>
            <w:r>
              <w:rPr>
                <w:b/>
              </w:rPr>
              <w:t xml:space="preserve">ption B: </w:t>
            </w:r>
          </w:p>
          <w:p w:rsidR="009C755C" w:rsidRDefault="009C755C" w:rsidP="009C755C">
            <w:pPr>
              <w:rPr>
                <w:b/>
              </w:rPr>
            </w:pPr>
            <w:r>
              <w:rPr>
                <w:rFonts w:asciiTheme="minorHAnsi" w:hAnsiTheme="minorHAnsi"/>
                <w:i/>
              </w:rPr>
              <w:t>More requirements? Fewer?</w:t>
            </w:r>
          </w:p>
          <w:p w:rsidR="009C755C" w:rsidRDefault="009C755C" w:rsidP="009C755C">
            <w:pPr>
              <w:rPr>
                <w:b/>
              </w:rPr>
            </w:pPr>
          </w:p>
          <w:p w:rsidR="009C755C" w:rsidRPr="001661A9" w:rsidRDefault="009C755C" w:rsidP="009C755C">
            <w:pPr>
              <w:rPr>
                <w:b/>
              </w:rPr>
            </w:pPr>
          </w:p>
        </w:tc>
      </w:tr>
    </w:tbl>
    <w:p w:rsidR="006724CB" w:rsidRDefault="006724CB" w:rsidP="003D0FF2">
      <w:pPr>
        <w:pStyle w:val="Default"/>
        <w:rPr>
          <w:rFonts w:ascii="Calibri" w:hAnsi="Calibri"/>
        </w:rPr>
      </w:pPr>
    </w:p>
    <w:p w:rsidR="006724CB" w:rsidRDefault="006724CB" w:rsidP="003D0FF2">
      <w:pPr>
        <w:pStyle w:val="Default"/>
        <w:rPr>
          <w:rFonts w:ascii="Calibri" w:hAnsi="Calibri"/>
        </w:rPr>
      </w:pPr>
      <w:r>
        <w:rPr>
          <w:rFonts w:asciiTheme="minorHAnsi" w:hAnsiTheme="minorHAnsi"/>
          <w:u w:val="single"/>
        </w:rPr>
        <w:t xml:space="preserve">Which BMPs are eligible to </w:t>
      </w:r>
      <w:r w:rsidR="00460A2F">
        <w:rPr>
          <w:rFonts w:asciiTheme="minorHAnsi" w:hAnsiTheme="minorHAnsi"/>
          <w:u w:val="single"/>
        </w:rPr>
        <w:t>trade</w:t>
      </w:r>
      <w:r w:rsidR="00460A2F" w:rsidRPr="00E50E71">
        <w:rPr>
          <w:rFonts w:ascii="Calibri" w:hAnsi="Calibri"/>
        </w:rPr>
        <w:t>?</w:t>
      </w:r>
    </w:p>
    <w:p w:rsidR="009C755C" w:rsidRDefault="009C755C" w:rsidP="003D0FF2">
      <w:pPr>
        <w:pStyle w:val="Default"/>
        <w:rPr>
          <w:rFonts w:ascii="Calibri" w:hAnsi="Calibri"/>
        </w:rPr>
      </w:pPr>
    </w:p>
    <w:p w:rsidR="009C755C" w:rsidRPr="00594285" w:rsidRDefault="009C755C" w:rsidP="003D0FF2">
      <w:pPr>
        <w:pStyle w:val="Default"/>
        <w:rPr>
          <w:rFonts w:ascii="Calibri" w:hAnsi="Calibri"/>
          <w:color w:val="auto"/>
        </w:rPr>
      </w:pPr>
      <w:r>
        <w:rPr>
          <w:rFonts w:ascii="Calibri" w:hAnsi="Calibri"/>
        </w:rPr>
        <w:t xml:space="preserve">The table below shows approved BMPs under programs in Oregon, Idaho, and Maryland. </w:t>
      </w:r>
    </w:p>
    <w:tbl>
      <w:tblPr>
        <w:tblW w:w="0" w:type="auto"/>
        <w:tblInd w:w="93" w:type="dxa"/>
        <w:tblLook w:val="04A0"/>
      </w:tblPr>
      <w:tblGrid>
        <w:gridCol w:w="2023"/>
        <w:gridCol w:w="1930"/>
        <w:gridCol w:w="3039"/>
        <w:gridCol w:w="1566"/>
        <w:gridCol w:w="823"/>
        <w:gridCol w:w="678"/>
      </w:tblGrid>
      <w:tr w:rsidR="008B1D44" w:rsidRPr="00B556DF" w:rsidTr="00FA4FCB">
        <w:trPr>
          <w:trHeight w:val="300"/>
        </w:trPr>
        <w:tc>
          <w:tcPr>
            <w:tcW w:w="0" w:type="auto"/>
            <w:vMerge w:val="restart"/>
            <w:tcBorders>
              <w:top w:val="single" w:sz="4" w:space="0" w:color="auto"/>
              <w:left w:val="single" w:sz="4" w:space="0" w:color="auto"/>
              <w:bottom w:val="nil"/>
              <w:right w:val="single" w:sz="4" w:space="0" w:color="auto"/>
            </w:tcBorders>
            <w:shd w:val="clear" w:color="000000" w:fill="DAEEF3"/>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Water Quality Attribute</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BMP Type</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BMPs</w:t>
            </w:r>
          </w:p>
        </w:tc>
        <w:tc>
          <w:tcPr>
            <w:tcW w:w="0" w:type="auto"/>
            <w:gridSpan w:val="3"/>
            <w:tcBorders>
              <w:top w:val="single" w:sz="4" w:space="0" w:color="auto"/>
              <w:left w:val="nil"/>
              <w:bottom w:val="single" w:sz="4" w:space="0" w:color="auto"/>
              <w:right w:val="single" w:sz="4" w:space="0" w:color="auto"/>
            </w:tcBorders>
            <w:shd w:val="clear" w:color="000000" w:fill="DAEEF3"/>
            <w:noWrap/>
            <w:vAlign w:val="bottom"/>
            <w:hideMark/>
          </w:tcPr>
          <w:p w:rsidR="008B1D44" w:rsidRPr="00B556DF" w:rsidRDefault="008B1D44" w:rsidP="008B1D44">
            <w:pPr>
              <w:jc w:val="center"/>
              <w:rPr>
                <w:rFonts w:eastAsia="Times New Roman" w:cs="Calibri"/>
                <w:color w:val="000000"/>
                <w:sz w:val="20"/>
                <w:szCs w:val="20"/>
              </w:rPr>
            </w:pPr>
            <w:r>
              <w:rPr>
                <w:rFonts w:eastAsia="Times New Roman" w:cs="Calibri"/>
                <w:color w:val="000000"/>
                <w:sz w:val="20"/>
                <w:szCs w:val="20"/>
              </w:rPr>
              <w:t>Program</w:t>
            </w:r>
          </w:p>
        </w:tc>
      </w:tr>
      <w:tr w:rsidR="008B1D44" w:rsidRPr="00B556DF" w:rsidTr="00B556DF">
        <w:trPr>
          <w:trHeight w:val="600"/>
        </w:trPr>
        <w:tc>
          <w:tcPr>
            <w:tcW w:w="0" w:type="auto"/>
            <w:vMerge/>
            <w:tcBorders>
              <w:top w:val="single" w:sz="4" w:space="0" w:color="auto"/>
              <w:left w:val="single" w:sz="4" w:space="0" w:color="auto"/>
              <w:bottom w:val="nil"/>
              <w:right w:val="single" w:sz="4" w:space="0" w:color="auto"/>
            </w:tcBorders>
            <w:vAlign w:val="center"/>
            <w:hideMark/>
          </w:tcPr>
          <w:p w:rsidR="008B1D44" w:rsidRPr="00B556DF" w:rsidRDefault="008B1D44" w:rsidP="00B556DF">
            <w:pPr>
              <w:rPr>
                <w:rFonts w:eastAsia="Times New Roman"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D44" w:rsidRPr="00B556DF" w:rsidRDefault="008B1D44" w:rsidP="00B556DF">
            <w:pPr>
              <w:rPr>
                <w:rFonts w:eastAsia="Times New Roman"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D44" w:rsidRPr="00B556DF" w:rsidRDefault="008B1D44" w:rsidP="00B556DF">
            <w:pPr>
              <w:rPr>
                <w:rFonts w:eastAsia="Times New Roman" w:cs="Calibri"/>
                <w:color w:val="000000"/>
                <w:sz w:val="20"/>
                <w:szCs w:val="20"/>
              </w:rPr>
            </w:pPr>
          </w:p>
        </w:tc>
        <w:tc>
          <w:tcPr>
            <w:tcW w:w="0" w:type="auto"/>
            <w:tcBorders>
              <w:top w:val="nil"/>
              <w:left w:val="nil"/>
              <w:bottom w:val="nil"/>
              <w:right w:val="single" w:sz="4" w:space="0" w:color="auto"/>
            </w:tcBorders>
            <w:shd w:val="clear" w:color="000000" w:fill="DAEEF3"/>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Willamette Partnership</w:t>
            </w:r>
          </w:p>
        </w:tc>
        <w:tc>
          <w:tcPr>
            <w:tcW w:w="0" w:type="auto"/>
            <w:tcBorders>
              <w:top w:val="nil"/>
              <w:left w:val="nil"/>
              <w:bottom w:val="nil"/>
              <w:right w:val="single" w:sz="4" w:space="0" w:color="auto"/>
            </w:tcBorders>
            <w:shd w:val="clear" w:color="000000" w:fill="DAEEF3"/>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Oregon</w:t>
            </w:r>
          </w:p>
        </w:tc>
        <w:tc>
          <w:tcPr>
            <w:tcW w:w="0" w:type="auto"/>
            <w:tcBorders>
              <w:top w:val="nil"/>
              <w:left w:val="nil"/>
              <w:bottom w:val="nil"/>
              <w:right w:val="single" w:sz="4" w:space="0" w:color="auto"/>
            </w:tcBorders>
            <w:shd w:val="clear" w:color="000000" w:fill="DAEEF3"/>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Idaho</w:t>
            </w:r>
          </w:p>
        </w:tc>
      </w:tr>
      <w:tr w:rsidR="008B1D44" w:rsidRPr="00B556DF" w:rsidTr="00B556DF">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Temperature</w:t>
            </w:r>
            <w:r w:rsidRPr="00B556DF">
              <w:rPr>
                <w:rFonts w:eastAsia="Times New Roman" w:cs="Calibri"/>
                <w:color w:val="000000"/>
                <w:sz w:val="20"/>
                <w:szCs w:val="20"/>
              </w:rPr>
              <w:br/>
              <w:t>(kcal)</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Structural</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rsidR="008B1D44" w:rsidRPr="00B556DF" w:rsidRDefault="008B1D44" w:rsidP="00B556DF">
            <w:pPr>
              <w:rPr>
                <w:rFonts w:eastAsia="Times New Roman" w:cs="Calibri"/>
                <w:color w:val="000000"/>
                <w:sz w:val="20"/>
                <w:szCs w:val="20"/>
              </w:rPr>
            </w:pPr>
            <w:r w:rsidRPr="00B556DF">
              <w:rPr>
                <w:rFonts w:eastAsia="Times New Roman" w:cs="Calibri"/>
                <w:color w:val="000000"/>
                <w:sz w:val="20"/>
                <w:szCs w:val="20"/>
              </w:rPr>
              <w:t>riparian forest restoration</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X</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X</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w:t>
            </w:r>
          </w:p>
        </w:tc>
      </w:tr>
      <w:tr w:rsidR="008B1D44" w:rsidRPr="00B556DF" w:rsidTr="00B556D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1D44" w:rsidRPr="00B556DF" w:rsidRDefault="008B1D44" w:rsidP="00B556DF">
            <w:pPr>
              <w:rPr>
                <w:rFonts w:eastAsia="Times New Roman"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D44" w:rsidRPr="00B556DF" w:rsidRDefault="008B1D44" w:rsidP="00B556DF">
            <w:pPr>
              <w:rPr>
                <w:rFonts w:eastAsia="Times New Roman" w:cs="Calibri"/>
                <w:color w:val="000000"/>
                <w:sz w:val="20"/>
                <w:szCs w:val="20"/>
              </w:rPr>
            </w:pP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rPr>
                <w:rFonts w:eastAsia="Times New Roman" w:cs="Calibri"/>
                <w:color w:val="000000"/>
                <w:sz w:val="20"/>
                <w:szCs w:val="20"/>
              </w:rPr>
            </w:pPr>
            <w:r w:rsidRPr="00B556DF">
              <w:rPr>
                <w:rFonts w:eastAsia="Times New Roman" w:cs="Calibri"/>
                <w:color w:val="000000"/>
                <w:sz w:val="20"/>
                <w:szCs w:val="20"/>
              </w:rPr>
              <w:t>flow augmentation</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 </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X*</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w:t>
            </w:r>
          </w:p>
        </w:tc>
      </w:tr>
      <w:tr w:rsidR="008B1D44" w:rsidRPr="00B556DF" w:rsidTr="00B556DF">
        <w:trPr>
          <w:trHeight w:val="300"/>
        </w:trPr>
        <w:tc>
          <w:tcPr>
            <w:tcW w:w="0" w:type="auto"/>
            <w:vMerge w:val="restart"/>
            <w:tcBorders>
              <w:top w:val="nil"/>
              <w:left w:val="single" w:sz="4" w:space="0" w:color="auto"/>
              <w:bottom w:val="single" w:sz="4" w:space="0" w:color="000000"/>
              <w:right w:val="single" w:sz="4" w:space="0" w:color="auto"/>
            </w:tcBorders>
            <w:shd w:val="clear" w:color="000000" w:fill="F2F2F2"/>
            <w:vAlign w:val="center"/>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Nutrient</w:t>
            </w:r>
            <w:r w:rsidRPr="00B556DF">
              <w:rPr>
                <w:rFonts w:eastAsia="Times New Roman" w:cs="Calibri"/>
                <w:color w:val="000000"/>
                <w:sz w:val="20"/>
                <w:szCs w:val="20"/>
              </w:rPr>
              <w:br/>
            </w:r>
            <w:r w:rsidRPr="00B556DF">
              <w:rPr>
                <w:rFonts w:eastAsia="Times New Roman" w:cs="Calibri"/>
                <w:color w:val="000000"/>
                <w:sz w:val="20"/>
                <w:szCs w:val="20"/>
              </w:rPr>
              <w:lastRenderedPageBreak/>
              <w:t>(Nitrogen, Phosphorus, Sediment)</w:t>
            </w:r>
          </w:p>
        </w:tc>
        <w:tc>
          <w:tcPr>
            <w:tcW w:w="0" w:type="auto"/>
            <w:vMerge w:val="restart"/>
            <w:tcBorders>
              <w:top w:val="nil"/>
              <w:left w:val="single" w:sz="4" w:space="0" w:color="auto"/>
              <w:bottom w:val="single" w:sz="4" w:space="0" w:color="000000"/>
              <w:right w:val="single" w:sz="4" w:space="0" w:color="auto"/>
            </w:tcBorders>
            <w:shd w:val="clear" w:color="000000" w:fill="F2F2F2"/>
            <w:noWrap/>
            <w:vAlign w:val="center"/>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lastRenderedPageBreak/>
              <w:t>Structural</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rPr>
                <w:rFonts w:eastAsia="Times New Roman" w:cs="Calibri"/>
                <w:color w:val="000000"/>
                <w:sz w:val="20"/>
                <w:szCs w:val="20"/>
              </w:rPr>
            </w:pPr>
            <w:r w:rsidRPr="00B556DF">
              <w:rPr>
                <w:rFonts w:eastAsia="Times New Roman" w:cs="Calibri"/>
                <w:color w:val="000000"/>
                <w:sz w:val="20"/>
                <w:szCs w:val="20"/>
              </w:rPr>
              <w:t>riparian forest buffer/restoration</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X</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X</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 </w:t>
            </w:r>
          </w:p>
        </w:tc>
      </w:tr>
      <w:tr w:rsidR="008B1D44" w:rsidRPr="00B556DF" w:rsidTr="00B556DF">
        <w:trPr>
          <w:trHeight w:val="300"/>
        </w:trPr>
        <w:tc>
          <w:tcPr>
            <w:tcW w:w="0" w:type="auto"/>
            <w:vMerge/>
            <w:tcBorders>
              <w:top w:val="nil"/>
              <w:left w:val="single" w:sz="4" w:space="0" w:color="auto"/>
              <w:bottom w:val="single" w:sz="4" w:space="0" w:color="000000"/>
              <w:right w:val="single" w:sz="4" w:space="0" w:color="auto"/>
            </w:tcBorders>
            <w:vAlign w:val="center"/>
            <w:hideMark/>
          </w:tcPr>
          <w:p w:rsidR="008B1D44" w:rsidRPr="00B556DF" w:rsidRDefault="008B1D44" w:rsidP="00B556DF">
            <w:pPr>
              <w:rPr>
                <w:rFonts w:eastAsia="Times New Roman" w:cs="Calibri"/>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B1D44" w:rsidRPr="00B556DF" w:rsidRDefault="008B1D44" w:rsidP="00B556DF">
            <w:pPr>
              <w:rPr>
                <w:rFonts w:eastAsia="Times New Roman" w:cs="Calibri"/>
                <w:color w:val="000000"/>
                <w:sz w:val="20"/>
                <w:szCs w:val="20"/>
              </w:rPr>
            </w:pP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rPr>
                <w:rFonts w:eastAsia="Times New Roman" w:cs="Calibri"/>
                <w:color w:val="000000"/>
                <w:sz w:val="20"/>
                <w:szCs w:val="20"/>
              </w:rPr>
            </w:pPr>
            <w:r w:rsidRPr="00B556DF">
              <w:rPr>
                <w:rFonts w:eastAsia="Times New Roman" w:cs="Calibri"/>
                <w:color w:val="000000"/>
                <w:sz w:val="20"/>
                <w:szCs w:val="20"/>
              </w:rPr>
              <w:t>livestock exclusion fencing</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X</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X</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 </w:t>
            </w:r>
          </w:p>
        </w:tc>
      </w:tr>
      <w:tr w:rsidR="008B1D44" w:rsidRPr="00B556DF" w:rsidTr="00B556DF">
        <w:trPr>
          <w:trHeight w:val="300"/>
        </w:trPr>
        <w:tc>
          <w:tcPr>
            <w:tcW w:w="0" w:type="auto"/>
            <w:vMerge/>
            <w:tcBorders>
              <w:top w:val="nil"/>
              <w:left w:val="single" w:sz="4" w:space="0" w:color="auto"/>
              <w:bottom w:val="single" w:sz="4" w:space="0" w:color="000000"/>
              <w:right w:val="single" w:sz="4" w:space="0" w:color="auto"/>
            </w:tcBorders>
            <w:vAlign w:val="center"/>
            <w:hideMark/>
          </w:tcPr>
          <w:p w:rsidR="008B1D44" w:rsidRPr="00B556DF" w:rsidRDefault="008B1D44" w:rsidP="00B556DF">
            <w:pPr>
              <w:rPr>
                <w:rFonts w:eastAsia="Times New Roman" w:cs="Calibri"/>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B1D44" w:rsidRPr="00B556DF" w:rsidRDefault="008B1D44" w:rsidP="00B556DF">
            <w:pPr>
              <w:rPr>
                <w:rFonts w:eastAsia="Times New Roman" w:cs="Calibri"/>
                <w:color w:val="000000"/>
                <w:sz w:val="20"/>
                <w:szCs w:val="20"/>
              </w:rPr>
            </w:pP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rPr>
                <w:rFonts w:eastAsia="Times New Roman" w:cs="Calibri"/>
                <w:color w:val="000000"/>
                <w:sz w:val="20"/>
                <w:szCs w:val="20"/>
              </w:rPr>
            </w:pPr>
            <w:r w:rsidRPr="00B556DF">
              <w:rPr>
                <w:rFonts w:eastAsia="Times New Roman" w:cs="Calibri"/>
                <w:color w:val="000000"/>
                <w:sz w:val="20"/>
                <w:szCs w:val="20"/>
              </w:rPr>
              <w:t>animal waste management system</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 </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 </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 </w:t>
            </w:r>
          </w:p>
        </w:tc>
      </w:tr>
      <w:tr w:rsidR="008B1D44" w:rsidRPr="00B556DF" w:rsidTr="00B556DF">
        <w:trPr>
          <w:trHeight w:val="300"/>
        </w:trPr>
        <w:tc>
          <w:tcPr>
            <w:tcW w:w="0" w:type="auto"/>
            <w:vMerge/>
            <w:tcBorders>
              <w:top w:val="nil"/>
              <w:left w:val="single" w:sz="4" w:space="0" w:color="auto"/>
              <w:bottom w:val="single" w:sz="4" w:space="0" w:color="000000"/>
              <w:right w:val="single" w:sz="4" w:space="0" w:color="auto"/>
            </w:tcBorders>
            <w:vAlign w:val="center"/>
            <w:hideMark/>
          </w:tcPr>
          <w:p w:rsidR="008B1D44" w:rsidRPr="00B556DF" w:rsidRDefault="008B1D44" w:rsidP="00B556DF">
            <w:pPr>
              <w:rPr>
                <w:rFonts w:eastAsia="Times New Roman" w:cs="Calibri"/>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B1D44" w:rsidRPr="00B556DF" w:rsidRDefault="008B1D44" w:rsidP="00B556DF">
            <w:pPr>
              <w:rPr>
                <w:rFonts w:eastAsia="Times New Roman" w:cs="Calibri"/>
                <w:color w:val="000000"/>
                <w:sz w:val="20"/>
                <w:szCs w:val="20"/>
              </w:rPr>
            </w:pP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rPr>
                <w:rFonts w:eastAsia="Times New Roman" w:cs="Calibri"/>
                <w:color w:val="000000"/>
                <w:sz w:val="20"/>
                <w:szCs w:val="20"/>
              </w:rPr>
            </w:pPr>
            <w:r w:rsidRPr="00B556DF">
              <w:rPr>
                <w:rFonts w:eastAsia="Times New Roman" w:cs="Calibri"/>
                <w:color w:val="000000"/>
                <w:sz w:val="20"/>
                <w:szCs w:val="20"/>
              </w:rPr>
              <w:t>sediment basins</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 </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 </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X</w:t>
            </w:r>
          </w:p>
        </w:tc>
      </w:tr>
      <w:tr w:rsidR="008B1D44" w:rsidRPr="00B556DF" w:rsidTr="00B556DF">
        <w:trPr>
          <w:trHeight w:val="300"/>
        </w:trPr>
        <w:tc>
          <w:tcPr>
            <w:tcW w:w="0" w:type="auto"/>
            <w:vMerge/>
            <w:tcBorders>
              <w:top w:val="nil"/>
              <w:left w:val="single" w:sz="4" w:space="0" w:color="auto"/>
              <w:bottom w:val="single" w:sz="4" w:space="0" w:color="000000"/>
              <w:right w:val="single" w:sz="4" w:space="0" w:color="auto"/>
            </w:tcBorders>
            <w:vAlign w:val="center"/>
            <w:hideMark/>
          </w:tcPr>
          <w:p w:rsidR="008B1D44" w:rsidRPr="00B556DF" w:rsidRDefault="008B1D44" w:rsidP="00B556DF">
            <w:pPr>
              <w:rPr>
                <w:rFonts w:eastAsia="Times New Roman" w:cs="Calibri"/>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B1D44" w:rsidRPr="00B556DF" w:rsidRDefault="008B1D44" w:rsidP="00B556DF">
            <w:pPr>
              <w:rPr>
                <w:rFonts w:eastAsia="Times New Roman" w:cs="Calibri"/>
                <w:color w:val="000000"/>
                <w:sz w:val="20"/>
                <w:szCs w:val="20"/>
              </w:rPr>
            </w:pP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rPr>
                <w:rFonts w:eastAsia="Times New Roman" w:cs="Calibri"/>
                <w:color w:val="000000"/>
                <w:sz w:val="20"/>
                <w:szCs w:val="20"/>
              </w:rPr>
            </w:pPr>
            <w:r w:rsidRPr="00B556DF">
              <w:rPr>
                <w:rFonts w:eastAsia="Times New Roman" w:cs="Calibri"/>
                <w:color w:val="000000"/>
                <w:sz w:val="20"/>
                <w:szCs w:val="20"/>
              </w:rPr>
              <w:t>underground outlet</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 </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 </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X</w:t>
            </w:r>
          </w:p>
        </w:tc>
      </w:tr>
      <w:tr w:rsidR="008B1D44" w:rsidRPr="00B556DF" w:rsidTr="00B556DF">
        <w:trPr>
          <w:trHeight w:val="300"/>
        </w:trPr>
        <w:tc>
          <w:tcPr>
            <w:tcW w:w="0" w:type="auto"/>
            <w:vMerge/>
            <w:tcBorders>
              <w:top w:val="nil"/>
              <w:left w:val="single" w:sz="4" w:space="0" w:color="auto"/>
              <w:bottom w:val="single" w:sz="4" w:space="0" w:color="000000"/>
              <w:right w:val="single" w:sz="4" w:space="0" w:color="auto"/>
            </w:tcBorders>
            <w:vAlign w:val="center"/>
            <w:hideMark/>
          </w:tcPr>
          <w:p w:rsidR="008B1D44" w:rsidRPr="00B556DF" w:rsidRDefault="008B1D44" w:rsidP="00B556DF">
            <w:pPr>
              <w:rPr>
                <w:rFonts w:eastAsia="Times New Roman" w:cs="Calibri"/>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B1D44" w:rsidRPr="00B556DF" w:rsidRDefault="008B1D44" w:rsidP="00B556DF">
            <w:pPr>
              <w:rPr>
                <w:rFonts w:eastAsia="Times New Roman" w:cs="Calibri"/>
                <w:color w:val="000000"/>
                <w:sz w:val="20"/>
                <w:szCs w:val="20"/>
              </w:rPr>
            </w:pP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rPr>
                <w:rFonts w:eastAsia="Times New Roman" w:cs="Calibri"/>
                <w:color w:val="000000"/>
                <w:sz w:val="20"/>
                <w:szCs w:val="20"/>
              </w:rPr>
            </w:pPr>
            <w:r w:rsidRPr="00B556DF">
              <w:rPr>
                <w:rFonts w:eastAsia="Times New Roman" w:cs="Calibri"/>
                <w:color w:val="000000"/>
                <w:sz w:val="20"/>
                <w:szCs w:val="20"/>
              </w:rPr>
              <w:t>sprinkler irrigation</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 </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 </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X</w:t>
            </w:r>
          </w:p>
        </w:tc>
      </w:tr>
      <w:tr w:rsidR="008B1D44" w:rsidRPr="00B556DF" w:rsidTr="00B556DF">
        <w:trPr>
          <w:trHeight w:val="300"/>
        </w:trPr>
        <w:tc>
          <w:tcPr>
            <w:tcW w:w="0" w:type="auto"/>
            <w:vMerge/>
            <w:tcBorders>
              <w:top w:val="nil"/>
              <w:left w:val="single" w:sz="4" w:space="0" w:color="auto"/>
              <w:bottom w:val="single" w:sz="4" w:space="0" w:color="000000"/>
              <w:right w:val="single" w:sz="4" w:space="0" w:color="auto"/>
            </w:tcBorders>
            <w:vAlign w:val="center"/>
            <w:hideMark/>
          </w:tcPr>
          <w:p w:rsidR="008B1D44" w:rsidRPr="00B556DF" w:rsidRDefault="008B1D44" w:rsidP="00B556DF">
            <w:pPr>
              <w:rPr>
                <w:rFonts w:eastAsia="Times New Roman" w:cs="Calibri"/>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B1D44" w:rsidRPr="00B556DF" w:rsidRDefault="008B1D44" w:rsidP="00B556DF">
            <w:pPr>
              <w:rPr>
                <w:rFonts w:eastAsia="Times New Roman" w:cs="Calibri"/>
                <w:color w:val="000000"/>
                <w:sz w:val="20"/>
                <w:szCs w:val="20"/>
              </w:rPr>
            </w:pP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rPr>
                <w:rFonts w:eastAsia="Times New Roman" w:cs="Calibri"/>
                <w:color w:val="000000"/>
                <w:sz w:val="20"/>
                <w:szCs w:val="20"/>
              </w:rPr>
            </w:pPr>
            <w:r w:rsidRPr="00B556DF">
              <w:rPr>
                <w:rFonts w:eastAsia="Times New Roman" w:cs="Calibri"/>
                <w:color w:val="000000"/>
                <w:sz w:val="20"/>
                <w:szCs w:val="20"/>
              </w:rPr>
              <w:t>micro irrigation</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 </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 </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X</w:t>
            </w:r>
          </w:p>
        </w:tc>
      </w:tr>
      <w:tr w:rsidR="008B1D44" w:rsidRPr="00B556DF" w:rsidTr="00B556DF">
        <w:trPr>
          <w:trHeight w:val="300"/>
        </w:trPr>
        <w:tc>
          <w:tcPr>
            <w:tcW w:w="0" w:type="auto"/>
            <w:vMerge/>
            <w:tcBorders>
              <w:top w:val="nil"/>
              <w:left w:val="single" w:sz="4" w:space="0" w:color="auto"/>
              <w:bottom w:val="single" w:sz="4" w:space="0" w:color="000000"/>
              <w:right w:val="single" w:sz="4" w:space="0" w:color="auto"/>
            </w:tcBorders>
            <w:vAlign w:val="center"/>
            <w:hideMark/>
          </w:tcPr>
          <w:p w:rsidR="008B1D44" w:rsidRPr="00B556DF" w:rsidRDefault="008B1D44" w:rsidP="00B556DF">
            <w:pPr>
              <w:rPr>
                <w:rFonts w:eastAsia="Times New Roman" w:cs="Calibri"/>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B1D44" w:rsidRPr="00B556DF" w:rsidRDefault="008B1D44" w:rsidP="00B556DF">
            <w:pPr>
              <w:rPr>
                <w:rFonts w:eastAsia="Times New Roman" w:cs="Calibri"/>
                <w:color w:val="000000"/>
                <w:sz w:val="20"/>
                <w:szCs w:val="20"/>
              </w:rPr>
            </w:pP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rPr>
                <w:rFonts w:eastAsia="Times New Roman" w:cs="Calibri"/>
                <w:color w:val="000000"/>
                <w:sz w:val="20"/>
                <w:szCs w:val="20"/>
              </w:rPr>
            </w:pPr>
            <w:r w:rsidRPr="00B556DF">
              <w:rPr>
                <w:rFonts w:eastAsia="Times New Roman" w:cs="Calibri"/>
                <w:color w:val="000000"/>
                <w:sz w:val="20"/>
                <w:szCs w:val="20"/>
              </w:rPr>
              <w:t>surge irrigation</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 </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 </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X</w:t>
            </w:r>
          </w:p>
        </w:tc>
      </w:tr>
      <w:tr w:rsidR="008B1D44" w:rsidRPr="00B556DF" w:rsidTr="00B556DF">
        <w:trPr>
          <w:trHeight w:val="300"/>
        </w:trPr>
        <w:tc>
          <w:tcPr>
            <w:tcW w:w="0" w:type="auto"/>
            <w:vMerge/>
            <w:tcBorders>
              <w:top w:val="nil"/>
              <w:left w:val="single" w:sz="4" w:space="0" w:color="auto"/>
              <w:bottom w:val="single" w:sz="4" w:space="0" w:color="000000"/>
              <w:right w:val="single" w:sz="4" w:space="0" w:color="auto"/>
            </w:tcBorders>
            <w:vAlign w:val="center"/>
            <w:hideMark/>
          </w:tcPr>
          <w:p w:rsidR="008B1D44" w:rsidRPr="00B556DF" w:rsidRDefault="008B1D44" w:rsidP="00B556DF">
            <w:pPr>
              <w:rPr>
                <w:rFonts w:eastAsia="Times New Roman" w:cs="Calibri"/>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B1D44" w:rsidRPr="00B556DF" w:rsidRDefault="008B1D44" w:rsidP="00B556DF">
            <w:pPr>
              <w:rPr>
                <w:rFonts w:eastAsia="Times New Roman" w:cs="Calibri"/>
                <w:color w:val="000000"/>
                <w:sz w:val="20"/>
                <w:szCs w:val="20"/>
              </w:rPr>
            </w:pP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rPr>
                <w:rFonts w:eastAsia="Times New Roman" w:cs="Calibri"/>
                <w:color w:val="000000"/>
                <w:sz w:val="20"/>
                <w:szCs w:val="20"/>
              </w:rPr>
            </w:pPr>
            <w:r w:rsidRPr="00B556DF">
              <w:rPr>
                <w:rFonts w:eastAsia="Times New Roman" w:cs="Calibri"/>
                <w:color w:val="000000"/>
                <w:sz w:val="20"/>
                <w:szCs w:val="20"/>
              </w:rPr>
              <w:t>tailwater recovery</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 </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 </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X</w:t>
            </w:r>
          </w:p>
        </w:tc>
      </w:tr>
      <w:tr w:rsidR="008B1D44" w:rsidRPr="00B556DF" w:rsidTr="00B556DF">
        <w:trPr>
          <w:trHeight w:val="300"/>
        </w:trPr>
        <w:tc>
          <w:tcPr>
            <w:tcW w:w="0" w:type="auto"/>
            <w:vMerge/>
            <w:tcBorders>
              <w:top w:val="nil"/>
              <w:left w:val="single" w:sz="4" w:space="0" w:color="auto"/>
              <w:bottom w:val="single" w:sz="4" w:space="0" w:color="000000"/>
              <w:right w:val="single" w:sz="4" w:space="0" w:color="auto"/>
            </w:tcBorders>
            <w:vAlign w:val="center"/>
            <w:hideMark/>
          </w:tcPr>
          <w:p w:rsidR="008B1D44" w:rsidRPr="00B556DF" w:rsidRDefault="008B1D44" w:rsidP="00B556DF">
            <w:pPr>
              <w:rPr>
                <w:rFonts w:eastAsia="Times New Roman" w:cs="Calibri"/>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B1D44" w:rsidRPr="00B556DF" w:rsidRDefault="008B1D44" w:rsidP="00B556DF">
            <w:pPr>
              <w:rPr>
                <w:rFonts w:eastAsia="Times New Roman" w:cs="Calibri"/>
                <w:color w:val="000000"/>
                <w:sz w:val="20"/>
                <w:szCs w:val="20"/>
              </w:rPr>
            </w:pP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rPr>
                <w:rFonts w:eastAsia="Times New Roman" w:cs="Calibri"/>
                <w:color w:val="000000"/>
                <w:sz w:val="20"/>
                <w:szCs w:val="20"/>
              </w:rPr>
            </w:pPr>
            <w:r w:rsidRPr="00B556DF">
              <w:rPr>
                <w:rFonts w:eastAsia="Times New Roman" w:cs="Calibri"/>
                <w:color w:val="000000"/>
                <w:sz w:val="20"/>
                <w:szCs w:val="20"/>
              </w:rPr>
              <w:t>wetland restoration</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 </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 </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X</w:t>
            </w:r>
          </w:p>
        </w:tc>
      </w:tr>
      <w:tr w:rsidR="008B1D44" w:rsidRPr="00B556DF" w:rsidTr="00B556DF">
        <w:trPr>
          <w:trHeight w:val="300"/>
        </w:trPr>
        <w:tc>
          <w:tcPr>
            <w:tcW w:w="0" w:type="auto"/>
            <w:vMerge/>
            <w:tcBorders>
              <w:top w:val="nil"/>
              <w:left w:val="single" w:sz="4" w:space="0" w:color="auto"/>
              <w:bottom w:val="single" w:sz="4" w:space="0" w:color="000000"/>
              <w:right w:val="single" w:sz="4" w:space="0" w:color="auto"/>
            </w:tcBorders>
            <w:vAlign w:val="center"/>
            <w:hideMark/>
          </w:tcPr>
          <w:p w:rsidR="008B1D44" w:rsidRPr="00B556DF" w:rsidRDefault="008B1D44" w:rsidP="00B556DF">
            <w:pPr>
              <w:rPr>
                <w:rFonts w:eastAsia="Times New Roman" w:cs="Calibri"/>
                <w:color w:val="000000"/>
                <w:sz w:val="20"/>
                <w:szCs w:val="20"/>
              </w:rPr>
            </w:pPr>
          </w:p>
        </w:tc>
        <w:tc>
          <w:tcPr>
            <w:tcW w:w="0" w:type="auto"/>
            <w:vMerge w:val="restart"/>
            <w:tcBorders>
              <w:top w:val="nil"/>
              <w:left w:val="single" w:sz="4" w:space="0" w:color="auto"/>
              <w:bottom w:val="single" w:sz="4" w:space="0" w:color="000000"/>
              <w:right w:val="single" w:sz="4" w:space="0" w:color="auto"/>
            </w:tcBorders>
            <w:shd w:val="clear" w:color="000000" w:fill="F2F2F2"/>
            <w:vAlign w:val="center"/>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Management or Practice-based</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rPr>
                <w:rFonts w:eastAsia="Times New Roman" w:cs="Calibri"/>
                <w:color w:val="000000"/>
                <w:sz w:val="20"/>
                <w:szCs w:val="20"/>
              </w:rPr>
            </w:pPr>
            <w:r w:rsidRPr="00B556DF">
              <w:rPr>
                <w:rFonts w:eastAsia="Times New Roman" w:cs="Calibri"/>
                <w:color w:val="000000"/>
                <w:sz w:val="20"/>
                <w:szCs w:val="20"/>
              </w:rPr>
              <w:t>cover cropping</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X</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X</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 </w:t>
            </w:r>
          </w:p>
        </w:tc>
      </w:tr>
      <w:tr w:rsidR="008B1D44" w:rsidRPr="00B556DF" w:rsidTr="00B556DF">
        <w:trPr>
          <w:trHeight w:val="300"/>
        </w:trPr>
        <w:tc>
          <w:tcPr>
            <w:tcW w:w="0" w:type="auto"/>
            <w:vMerge/>
            <w:tcBorders>
              <w:top w:val="nil"/>
              <w:left w:val="single" w:sz="4" w:space="0" w:color="auto"/>
              <w:bottom w:val="single" w:sz="4" w:space="0" w:color="000000"/>
              <w:right w:val="single" w:sz="4" w:space="0" w:color="auto"/>
            </w:tcBorders>
            <w:vAlign w:val="center"/>
            <w:hideMark/>
          </w:tcPr>
          <w:p w:rsidR="008B1D44" w:rsidRPr="00B556DF" w:rsidRDefault="008B1D44" w:rsidP="00B556DF">
            <w:pPr>
              <w:rPr>
                <w:rFonts w:eastAsia="Times New Roman" w:cs="Calibri"/>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B1D44" w:rsidRPr="00B556DF" w:rsidRDefault="008B1D44" w:rsidP="00B556DF">
            <w:pPr>
              <w:rPr>
                <w:rFonts w:eastAsia="Times New Roman" w:cs="Calibri"/>
                <w:color w:val="000000"/>
                <w:sz w:val="20"/>
                <w:szCs w:val="20"/>
              </w:rPr>
            </w:pP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rPr>
                <w:rFonts w:eastAsia="Times New Roman" w:cs="Calibri"/>
                <w:color w:val="000000"/>
                <w:sz w:val="20"/>
                <w:szCs w:val="20"/>
              </w:rPr>
            </w:pPr>
            <w:r w:rsidRPr="00B556DF">
              <w:rPr>
                <w:rFonts w:eastAsia="Times New Roman" w:cs="Calibri"/>
                <w:color w:val="000000"/>
                <w:sz w:val="20"/>
                <w:szCs w:val="20"/>
              </w:rPr>
              <w:t>crop rotations</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X</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X</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X</w:t>
            </w:r>
          </w:p>
        </w:tc>
      </w:tr>
      <w:tr w:rsidR="008B1D44" w:rsidRPr="00B556DF" w:rsidTr="00B556DF">
        <w:trPr>
          <w:trHeight w:val="300"/>
        </w:trPr>
        <w:tc>
          <w:tcPr>
            <w:tcW w:w="0" w:type="auto"/>
            <w:vMerge/>
            <w:tcBorders>
              <w:top w:val="nil"/>
              <w:left w:val="single" w:sz="4" w:space="0" w:color="auto"/>
              <w:bottom w:val="single" w:sz="4" w:space="0" w:color="000000"/>
              <w:right w:val="single" w:sz="4" w:space="0" w:color="auto"/>
            </w:tcBorders>
            <w:vAlign w:val="center"/>
            <w:hideMark/>
          </w:tcPr>
          <w:p w:rsidR="008B1D44" w:rsidRPr="00B556DF" w:rsidRDefault="008B1D44" w:rsidP="00B556DF">
            <w:pPr>
              <w:rPr>
                <w:rFonts w:eastAsia="Times New Roman" w:cs="Calibri"/>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B1D44" w:rsidRPr="00B556DF" w:rsidRDefault="008B1D44" w:rsidP="00B556DF">
            <w:pPr>
              <w:rPr>
                <w:rFonts w:eastAsia="Times New Roman" w:cs="Calibri"/>
                <w:color w:val="000000"/>
                <w:sz w:val="20"/>
                <w:szCs w:val="20"/>
              </w:rPr>
            </w:pP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rPr>
                <w:rFonts w:eastAsia="Times New Roman" w:cs="Calibri"/>
                <w:color w:val="000000"/>
                <w:sz w:val="20"/>
                <w:szCs w:val="20"/>
              </w:rPr>
            </w:pPr>
            <w:r w:rsidRPr="00B556DF">
              <w:rPr>
                <w:rFonts w:eastAsia="Times New Roman" w:cs="Calibri"/>
                <w:color w:val="000000"/>
                <w:sz w:val="20"/>
                <w:szCs w:val="20"/>
              </w:rPr>
              <w:t>conservation tillage</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X</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X</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 </w:t>
            </w:r>
          </w:p>
        </w:tc>
      </w:tr>
      <w:tr w:rsidR="008B1D44" w:rsidRPr="00B556DF" w:rsidTr="00B556DF">
        <w:trPr>
          <w:trHeight w:val="300"/>
        </w:trPr>
        <w:tc>
          <w:tcPr>
            <w:tcW w:w="0" w:type="auto"/>
            <w:vMerge/>
            <w:tcBorders>
              <w:top w:val="nil"/>
              <w:left w:val="single" w:sz="4" w:space="0" w:color="auto"/>
              <w:bottom w:val="single" w:sz="4" w:space="0" w:color="000000"/>
              <w:right w:val="single" w:sz="4" w:space="0" w:color="auto"/>
            </w:tcBorders>
            <w:vAlign w:val="center"/>
            <w:hideMark/>
          </w:tcPr>
          <w:p w:rsidR="008B1D44" w:rsidRPr="00B556DF" w:rsidRDefault="008B1D44" w:rsidP="00B556DF">
            <w:pPr>
              <w:rPr>
                <w:rFonts w:eastAsia="Times New Roman" w:cs="Calibri"/>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B1D44" w:rsidRPr="00B556DF" w:rsidRDefault="008B1D44" w:rsidP="00B556DF">
            <w:pPr>
              <w:rPr>
                <w:rFonts w:eastAsia="Times New Roman" w:cs="Calibri"/>
                <w:color w:val="000000"/>
                <w:sz w:val="20"/>
                <w:szCs w:val="20"/>
              </w:rPr>
            </w:pP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rPr>
                <w:rFonts w:eastAsia="Times New Roman" w:cs="Calibri"/>
                <w:color w:val="000000"/>
                <w:sz w:val="20"/>
                <w:szCs w:val="20"/>
              </w:rPr>
            </w:pPr>
            <w:r w:rsidRPr="00B556DF">
              <w:rPr>
                <w:rFonts w:eastAsia="Times New Roman" w:cs="Calibri"/>
                <w:color w:val="000000"/>
                <w:sz w:val="20"/>
                <w:szCs w:val="20"/>
              </w:rPr>
              <w:t>filter strips</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X**</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 </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X</w:t>
            </w:r>
          </w:p>
        </w:tc>
      </w:tr>
      <w:tr w:rsidR="008B1D44" w:rsidRPr="00B556DF" w:rsidTr="00B556DF">
        <w:trPr>
          <w:trHeight w:val="300"/>
        </w:trPr>
        <w:tc>
          <w:tcPr>
            <w:tcW w:w="0" w:type="auto"/>
            <w:vMerge/>
            <w:tcBorders>
              <w:top w:val="nil"/>
              <w:left w:val="single" w:sz="4" w:space="0" w:color="auto"/>
              <w:bottom w:val="single" w:sz="4" w:space="0" w:color="000000"/>
              <w:right w:val="single" w:sz="4" w:space="0" w:color="auto"/>
            </w:tcBorders>
            <w:vAlign w:val="center"/>
            <w:hideMark/>
          </w:tcPr>
          <w:p w:rsidR="008B1D44" w:rsidRPr="00B556DF" w:rsidRDefault="008B1D44" w:rsidP="00B556DF">
            <w:pPr>
              <w:rPr>
                <w:rFonts w:eastAsia="Times New Roman" w:cs="Calibri"/>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B1D44" w:rsidRPr="00B556DF" w:rsidRDefault="008B1D44" w:rsidP="00B556DF">
            <w:pPr>
              <w:rPr>
                <w:rFonts w:eastAsia="Times New Roman" w:cs="Calibri"/>
                <w:color w:val="000000"/>
                <w:sz w:val="20"/>
                <w:szCs w:val="20"/>
              </w:rPr>
            </w:pP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rPr>
                <w:rFonts w:eastAsia="Times New Roman" w:cs="Calibri"/>
                <w:color w:val="000000"/>
                <w:sz w:val="20"/>
                <w:szCs w:val="20"/>
              </w:rPr>
            </w:pPr>
            <w:r w:rsidRPr="00B556DF">
              <w:rPr>
                <w:rFonts w:eastAsia="Times New Roman" w:cs="Calibri"/>
                <w:color w:val="000000"/>
                <w:sz w:val="20"/>
                <w:szCs w:val="20"/>
              </w:rPr>
              <w:t>straw in furrows</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 </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 </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X</w:t>
            </w:r>
          </w:p>
        </w:tc>
      </w:tr>
      <w:tr w:rsidR="008B1D44" w:rsidRPr="00B556DF" w:rsidTr="00B556DF">
        <w:trPr>
          <w:trHeight w:val="300"/>
        </w:trPr>
        <w:tc>
          <w:tcPr>
            <w:tcW w:w="0" w:type="auto"/>
            <w:vMerge/>
            <w:tcBorders>
              <w:top w:val="nil"/>
              <w:left w:val="single" w:sz="4" w:space="0" w:color="auto"/>
              <w:bottom w:val="single" w:sz="4" w:space="0" w:color="000000"/>
              <w:right w:val="single" w:sz="4" w:space="0" w:color="auto"/>
            </w:tcBorders>
            <w:vAlign w:val="center"/>
            <w:hideMark/>
          </w:tcPr>
          <w:p w:rsidR="008B1D44" w:rsidRPr="00B556DF" w:rsidRDefault="008B1D44" w:rsidP="00B556DF">
            <w:pPr>
              <w:rPr>
                <w:rFonts w:eastAsia="Times New Roman" w:cs="Calibri"/>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B1D44" w:rsidRPr="00B556DF" w:rsidRDefault="008B1D44" w:rsidP="00B556DF">
            <w:pPr>
              <w:rPr>
                <w:rFonts w:eastAsia="Times New Roman" w:cs="Calibri"/>
                <w:color w:val="000000"/>
                <w:sz w:val="20"/>
                <w:szCs w:val="20"/>
              </w:rPr>
            </w:pP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rPr>
                <w:rFonts w:eastAsia="Times New Roman" w:cs="Calibri"/>
                <w:color w:val="000000"/>
                <w:sz w:val="20"/>
                <w:szCs w:val="20"/>
              </w:rPr>
            </w:pPr>
            <w:r w:rsidRPr="00B556DF">
              <w:rPr>
                <w:rFonts w:eastAsia="Times New Roman" w:cs="Calibri"/>
                <w:color w:val="000000"/>
                <w:sz w:val="20"/>
                <w:szCs w:val="20"/>
              </w:rPr>
              <w:t>nutrient management</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X**</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 </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X</w:t>
            </w:r>
          </w:p>
        </w:tc>
      </w:tr>
      <w:tr w:rsidR="008B1D44" w:rsidRPr="00B556DF" w:rsidTr="00B556DF">
        <w:trPr>
          <w:trHeight w:val="300"/>
        </w:trPr>
        <w:tc>
          <w:tcPr>
            <w:tcW w:w="0" w:type="auto"/>
            <w:vMerge/>
            <w:tcBorders>
              <w:top w:val="nil"/>
              <w:left w:val="single" w:sz="4" w:space="0" w:color="auto"/>
              <w:bottom w:val="single" w:sz="4" w:space="0" w:color="000000"/>
              <w:right w:val="single" w:sz="4" w:space="0" w:color="auto"/>
            </w:tcBorders>
            <w:vAlign w:val="center"/>
            <w:hideMark/>
          </w:tcPr>
          <w:p w:rsidR="008B1D44" w:rsidRPr="00B556DF" w:rsidRDefault="008B1D44" w:rsidP="00B556DF">
            <w:pPr>
              <w:rPr>
                <w:rFonts w:eastAsia="Times New Roman" w:cs="Calibri"/>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B1D44" w:rsidRPr="00B556DF" w:rsidRDefault="008B1D44" w:rsidP="00B556DF">
            <w:pPr>
              <w:rPr>
                <w:rFonts w:eastAsia="Times New Roman" w:cs="Calibri"/>
                <w:color w:val="000000"/>
                <w:sz w:val="20"/>
                <w:szCs w:val="20"/>
              </w:rPr>
            </w:pP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rPr>
                <w:rFonts w:eastAsia="Times New Roman" w:cs="Calibri"/>
                <w:color w:val="000000"/>
                <w:sz w:val="20"/>
                <w:szCs w:val="20"/>
              </w:rPr>
            </w:pPr>
            <w:r w:rsidRPr="00B556DF">
              <w:rPr>
                <w:rFonts w:eastAsia="Times New Roman" w:cs="Calibri"/>
                <w:color w:val="000000"/>
                <w:sz w:val="20"/>
                <w:szCs w:val="20"/>
              </w:rPr>
              <w:t>polyacrylamide</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 </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 </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X</w:t>
            </w:r>
          </w:p>
        </w:tc>
      </w:tr>
      <w:tr w:rsidR="008B1D44" w:rsidRPr="00B556DF" w:rsidTr="00B556DF">
        <w:trPr>
          <w:trHeight w:val="300"/>
        </w:trPr>
        <w:tc>
          <w:tcPr>
            <w:tcW w:w="0" w:type="auto"/>
            <w:vMerge/>
            <w:tcBorders>
              <w:top w:val="nil"/>
              <w:left w:val="single" w:sz="4" w:space="0" w:color="auto"/>
              <w:bottom w:val="single" w:sz="4" w:space="0" w:color="000000"/>
              <w:right w:val="single" w:sz="4" w:space="0" w:color="auto"/>
            </w:tcBorders>
            <w:vAlign w:val="center"/>
            <w:hideMark/>
          </w:tcPr>
          <w:p w:rsidR="008B1D44" w:rsidRPr="00B556DF" w:rsidRDefault="008B1D44" w:rsidP="00B556DF">
            <w:pPr>
              <w:rPr>
                <w:rFonts w:eastAsia="Times New Roman" w:cs="Calibri"/>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8B1D44" w:rsidRPr="00B556DF" w:rsidRDefault="008B1D44" w:rsidP="00B556DF">
            <w:pPr>
              <w:rPr>
                <w:rFonts w:eastAsia="Times New Roman" w:cs="Calibri"/>
                <w:color w:val="000000"/>
                <w:sz w:val="20"/>
                <w:szCs w:val="20"/>
              </w:rPr>
            </w:pP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rPr>
                <w:rFonts w:eastAsia="Times New Roman" w:cs="Calibri"/>
                <w:color w:val="000000"/>
                <w:sz w:val="20"/>
                <w:szCs w:val="20"/>
              </w:rPr>
            </w:pPr>
            <w:r w:rsidRPr="00B556DF">
              <w:rPr>
                <w:rFonts w:eastAsia="Times New Roman" w:cs="Calibri"/>
                <w:color w:val="000000"/>
                <w:sz w:val="20"/>
                <w:szCs w:val="20"/>
              </w:rPr>
              <w:t>riparian grass buffer/restoration</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X**</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 </w:t>
            </w:r>
          </w:p>
        </w:tc>
        <w:tc>
          <w:tcPr>
            <w:tcW w:w="0" w:type="auto"/>
            <w:tcBorders>
              <w:top w:val="nil"/>
              <w:left w:val="nil"/>
              <w:bottom w:val="single" w:sz="4" w:space="0" w:color="auto"/>
              <w:right w:val="single" w:sz="4" w:space="0" w:color="auto"/>
            </w:tcBorders>
            <w:shd w:val="clear" w:color="000000" w:fill="F2F2F2"/>
            <w:noWrap/>
            <w:vAlign w:val="bottom"/>
            <w:hideMark/>
          </w:tcPr>
          <w:p w:rsidR="008B1D44" w:rsidRPr="00B556DF" w:rsidRDefault="008B1D44" w:rsidP="00B556DF">
            <w:pPr>
              <w:jc w:val="center"/>
              <w:rPr>
                <w:rFonts w:eastAsia="Times New Roman" w:cs="Calibri"/>
                <w:color w:val="000000"/>
                <w:sz w:val="20"/>
                <w:szCs w:val="20"/>
              </w:rPr>
            </w:pPr>
            <w:r w:rsidRPr="00B556DF">
              <w:rPr>
                <w:rFonts w:eastAsia="Times New Roman" w:cs="Calibri"/>
                <w:color w:val="000000"/>
                <w:sz w:val="20"/>
                <w:szCs w:val="20"/>
              </w:rPr>
              <w:t> </w:t>
            </w:r>
          </w:p>
        </w:tc>
      </w:tr>
      <w:tr w:rsidR="008B1D44" w:rsidRPr="00B556DF" w:rsidTr="00B556DF">
        <w:trPr>
          <w:trHeight w:val="300"/>
        </w:trPr>
        <w:tc>
          <w:tcPr>
            <w:tcW w:w="0" w:type="auto"/>
            <w:gridSpan w:val="5"/>
            <w:tcBorders>
              <w:top w:val="nil"/>
              <w:left w:val="nil"/>
              <w:bottom w:val="nil"/>
              <w:right w:val="nil"/>
            </w:tcBorders>
            <w:shd w:val="clear" w:color="auto" w:fill="auto"/>
            <w:noWrap/>
            <w:vAlign w:val="bottom"/>
            <w:hideMark/>
          </w:tcPr>
          <w:p w:rsidR="008B1D44" w:rsidRPr="00B556DF" w:rsidRDefault="008B1D44" w:rsidP="00B556DF">
            <w:pPr>
              <w:rPr>
                <w:rFonts w:eastAsia="Times New Roman" w:cs="Calibri"/>
                <w:color w:val="000000"/>
                <w:sz w:val="20"/>
                <w:szCs w:val="20"/>
              </w:rPr>
            </w:pPr>
            <w:r w:rsidRPr="00B556DF">
              <w:rPr>
                <w:rFonts w:eastAsia="Times New Roman" w:cs="Calibri"/>
                <w:color w:val="000000"/>
                <w:sz w:val="20"/>
                <w:szCs w:val="20"/>
              </w:rPr>
              <w:t>* Accepted on a case-by-case basis where sufficient information and/or modeling exists</w:t>
            </w:r>
          </w:p>
        </w:tc>
        <w:tc>
          <w:tcPr>
            <w:tcW w:w="0" w:type="auto"/>
            <w:tcBorders>
              <w:top w:val="nil"/>
              <w:left w:val="nil"/>
              <w:bottom w:val="nil"/>
              <w:right w:val="nil"/>
            </w:tcBorders>
            <w:shd w:val="clear" w:color="auto" w:fill="auto"/>
            <w:noWrap/>
            <w:vAlign w:val="bottom"/>
            <w:hideMark/>
          </w:tcPr>
          <w:p w:rsidR="008B1D44" w:rsidRPr="00B556DF" w:rsidRDefault="008B1D44" w:rsidP="00B556DF">
            <w:pPr>
              <w:rPr>
                <w:rFonts w:eastAsia="Times New Roman" w:cs="Calibri"/>
                <w:color w:val="000000"/>
                <w:sz w:val="20"/>
                <w:szCs w:val="20"/>
              </w:rPr>
            </w:pPr>
          </w:p>
        </w:tc>
      </w:tr>
      <w:tr w:rsidR="008B1D44" w:rsidRPr="00B556DF" w:rsidTr="00B556DF">
        <w:trPr>
          <w:trHeight w:val="300"/>
        </w:trPr>
        <w:tc>
          <w:tcPr>
            <w:tcW w:w="0" w:type="auto"/>
            <w:gridSpan w:val="6"/>
            <w:tcBorders>
              <w:top w:val="nil"/>
              <w:left w:val="nil"/>
              <w:bottom w:val="nil"/>
              <w:right w:val="nil"/>
            </w:tcBorders>
            <w:shd w:val="clear" w:color="auto" w:fill="auto"/>
            <w:noWrap/>
            <w:vAlign w:val="bottom"/>
            <w:hideMark/>
          </w:tcPr>
          <w:p w:rsidR="008B1D44" w:rsidRPr="00B556DF" w:rsidRDefault="008B1D44" w:rsidP="00B556DF">
            <w:pPr>
              <w:rPr>
                <w:rFonts w:eastAsia="Times New Roman" w:cs="Calibri"/>
                <w:color w:val="000000"/>
                <w:sz w:val="20"/>
                <w:szCs w:val="20"/>
              </w:rPr>
            </w:pPr>
            <w:r w:rsidRPr="00B556DF">
              <w:rPr>
                <w:rFonts w:eastAsia="Times New Roman" w:cs="Calibri"/>
                <w:color w:val="000000"/>
                <w:sz w:val="20"/>
                <w:szCs w:val="20"/>
              </w:rPr>
              <w:t>** Methodologies and protocols are available, quantification method not yet approved by state agency</w:t>
            </w:r>
          </w:p>
        </w:tc>
      </w:tr>
    </w:tbl>
    <w:p w:rsidR="009C755C" w:rsidRDefault="009C755C" w:rsidP="009C755C">
      <w:pPr>
        <w:pStyle w:val="Default"/>
        <w:rPr>
          <w:rFonts w:ascii="Calibri" w:hAnsi="Calibri"/>
          <w:color w:val="auto"/>
          <w:u w:val="single"/>
        </w:rPr>
      </w:pPr>
    </w:p>
    <w:p w:rsidR="009C755C" w:rsidRPr="00594285" w:rsidRDefault="009C755C" w:rsidP="009C755C">
      <w:pPr>
        <w:pStyle w:val="Default"/>
        <w:rPr>
          <w:rFonts w:ascii="Calibri" w:hAnsi="Calibri"/>
          <w:color w:val="auto"/>
        </w:rPr>
      </w:pPr>
      <w:r>
        <w:rPr>
          <w:rFonts w:ascii="Calibri" w:hAnsi="Calibri"/>
          <w:color w:val="auto"/>
          <w:u w:val="single"/>
        </w:rPr>
        <w:t>Questions to consider:</w:t>
      </w:r>
      <w:r>
        <w:rPr>
          <w:rFonts w:ascii="Calibri" w:hAnsi="Calibri"/>
          <w:color w:val="auto"/>
        </w:rPr>
        <w:t xml:space="preserve"> </w:t>
      </w:r>
      <w:r w:rsidR="008B1D44">
        <w:rPr>
          <w:rFonts w:ascii="Calibri" w:hAnsi="Calibri"/>
          <w:color w:val="auto"/>
        </w:rPr>
        <w:t>Is setting a default list of approved BMPs useful? What are other ways to inform potential buyers and sellers about eligible practices, and to create incentives for the best practices to be identified and used for generating credits?  What other practices and technologies do we want to consider or learn more about through this process?</w:t>
      </w:r>
    </w:p>
    <w:p w:rsidR="003D0FF2" w:rsidRPr="00094731" w:rsidRDefault="003D0FF2" w:rsidP="003D0FF2">
      <w:pPr>
        <w:pStyle w:val="Default"/>
        <w:rPr>
          <w:rFonts w:ascii="Calibri" w:hAnsi="Calibri"/>
          <w:b/>
          <w:color w:val="auto"/>
        </w:rPr>
      </w:pPr>
    </w:p>
    <w:p w:rsidR="003D0FF2" w:rsidRPr="004D4D2A" w:rsidRDefault="003D0FF2" w:rsidP="003D0FF2">
      <w:pPr>
        <w:pStyle w:val="Default"/>
        <w:rPr>
          <w:rFonts w:asciiTheme="minorHAnsi" w:hAnsiTheme="minorHAnsi"/>
          <w:b/>
        </w:rPr>
      </w:pPr>
      <w:r w:rsidRPr="004D4D2A">
        <w:rPr>
          <w:rFonts w:asciiTheme="minorHAnsi" w:hAnsiTheme="minorHAnsi"/>
          <w:b/>
        </w:rPr>
        <w:t xml:space="preserve">II. </w:t>
      </w:r>
      <w:r>
        <w:rPr>
          <w:rFonts w:asciiTheme="minorHAnsi" w:hAnsiTheme="minorHAnsi"/>
          <w:b/>
        </w:rPr>
        <w:t>Recommended d</w:t>
      </w:r>
      <w:r w:rsidRPr="004D4D2A">
        <w:rPr>
          <w:rFonts w:asciiTheme="minorHAnsi" w:hAnsiTheme="minorHAnsi"/>
          <w:b/>
        </w:rPr>
        <w:t>efault</w:t>
      </w:r>
    </w:p>
    <w:p w:rsidR="008B1D44" w:rsidRPr="00C645B8" w:rsidRDefault="003D0FF2" w:rsidP="008B1D44">
      <w:pPr>
        <w:pStyle w:val="Default"/>
        <w:spacing w:after="120"/>
        <w:rPr>
          <w:rFonts w:asciiTheme="minorHAnsi" w:hAnsiTheme="minorHAnsi"/>
        </w:rPr>
      </w:pPr>
      <w:r w:rsidRPr="004427B9">
        <w:rPr>
          <w:rFonts w:asciiTheme="minorHAnsi" w:hAnsiTheme="minorHAnsi"/>
        </w:rPr>
        <w:t xml:space="preserve">Credit-generating actions </w:t>
      </w:r>
      <w:r w:rsidRPr="004427B9">
        <w:rPr>
          <w:rFonts w:ascii="Calibri" w:hAnsi="Calibri"/>
        </w:rPr>
        <w:t xml:space="preserve">must </w:t>
      </w:r>
      <w:r w:rsidR="00B556DF">
        <w:rPr>
          <w:rFonts w:ascii="Calibri" w:hAnsi="Calibri"/>
        </w:rPr>
        <w:t>have</w:t>
      </w:r>
      <w:r w:rsidRPr="004427B9">
        <w:rPr>
          <w:rFonts w:ascii="Calibri" w:hAnsi="Calibri"/>
        </w:rPr>
        <w:t xml:space="preserve"> </w:t>
      </w:r>
      <w:r w:rsidR="009C755C">
        <w:rPr>
          <w:rFonts w:ascii="Calibri" w:hAnsi="Calibri"/>
        </w:rPr>
        <w:t xml:space="preserve">eligibility requirements, </w:t>
      </w:r>
      <w:r w:rsidRPr="004427B9">
        <w:rPr>
          <w:rFonts w:asciiTheme="minorHAnsi" w:hAnsiTheme="minorHAnsi"/>
        </w:rPr>
        <w:t xml:space="preserve">quality standards </w:t>
      </w:r>
      <w:r w:rsidR="00B556DF">
        <w:rPr>
          <w:rFonts w:asciiTheme="minorHAnsi" w:hAnsiTheme="minorHAnsi"/>
        </w:rPr>
        <w:t>for design and operations</w:t>
      </w:r>
      <w:r w:rsidR="00F404B5">
        <w:rPr>
          <w:rFonts w:asciiTheme="minorHAnsi" w:hAnsiTheme="minorHAnsi"/>
        </w:rPr>
        <w:t>,</w:t>
      </w:r>
      <w:r w:rsidR="00B556DF">
        <w:rPr>
          <w:rFonts w:asciiTheme="minorHAnsi" w:hAnsiTheme="minorHAnsi"/>
        </w:rPr>
        <w:t xml:space="preserve"> </w:t>
      </w:r>
      <w:r w:rsidRPr="004427B9">
        <w:rPr>
          <w:rFonts w:asciiTheme="minorHAnsi" w:hAnsiTheme="minorHAnsi"/>
        </w:rPr>
        <w:t xml:space="preserve">and have a </w:t>
      </w:r>
      <w:r w:rsidR="00B556DF">
        <w:rPr>
          <w:rFonts w:asciiTheme="minorHAnsi" w:hAnsiTheme="minorHAnsi"/>
        </w:rPr>
        <w:t>state-</w:t>
      </w:r>
      <w:r w:rsidRPr="004427B9">
        <w:rPr>
          <w:rFonts w:asciiTheme="minorHAnsi" w:hAnsiTheme="minorHAnsi"/>
        </w:rPr>
        <w:t>approved quantification method.</w:t>
      </w:r>
      <w:r>
        <w:rPr>
          <w:rFonts w:asciiTheme="minorHAnsi" w:hAnsiTheme="minorHAnsi"/>
        </w:rPr>
        <w:t xml:space="preserve"> </w:t>
      </w:r>
      <w:r w:rsidR="008B1D44">
        <w:rPr>
          <w:rFonts w:asciiTheme="minorHAnsi" w:hAnsiTheme="minorHAnsi"/>
        </w:rPr>
        <w:t xml:space="preserve">Regular timelines and processes </w:t>
      </w:r>
      <w:r w:rsidR="007D2CEE">
        <w:rPr>
          <w:rFonts w:asciiTheme="minorHAnsi" w:hAnsiTheme="minorHAnsi"/>
        </w:rPr>
        <w:t>should be</w:t>
      </w:r>
      <w:r w:rsidR="00F404B5">
        <w:rPr>
          <w:rFonts w:asciiTheme="minorHAnsi" w:hAnsiTheme="minorHAnsi"/>
        </w:rPr>
        <w:t xml:space="preserve"> established </w:t>
      </w:r>
      <w:r w:rsidR="008B1D44">
        <w:rPr>
          <w:rFonts w:asciiTheme="minorHAnsi" w:hAnsiTheme="minorHAnsi"/>
        </w:rPr>
        <w:t>for considering new eligible BMPs and improvements to existing BMP design, implement</w:t>
      </w:r>
      <w:r w:rsidR="00F404B5">
        <w:rPr>
          <w:rFonts w:asciiTheme="minorHAnsi" w:hAnsiTheme="minorHAnsi"/>
        </w:rPr>
        <w:t>ation, and maintenance standards</w:t>
      </w:r>
      <w:r w:rsidR="008B1D44">
        <w:rPr>
          <w:rFonts w:asciiTheme="minorHAnsi" w:hAnsiTheme="minorHAnsi"/>
        </w:rPr>
        <w:t xml:space="preserve">.  </w:t>
      </w:r>
    </w:p>
    <w:p w:rsidR="003D0FF2" w:rsidRDefault="003D0FF2" w:rsidP="003D0FF2">
      <w:pPr>
        <w:pStyle w:val="Default"/>
        <w:rPr>
          <w:rFonts w:asciiTheme="minorHAnsi" w:hAnsiTheme="minorHAnsi"/>
        </w:rPr>
      </w:pPr>
    </w:p>
    <w:p w:rsidR="003D0FF2" w:rsidRPr="004D4D2A" w:rsidRDefault="003D0FF2" w:rsidP="003D0FF2">
      <w:pPr>
        <w:pStyle w:val="Default"/>
        <w:rPr>
          <w:rFonts w:asciiTheme="minorHAnsi" w:hAnsiTheme="minorHAnsi"/>
          <w:b/>
        </w:rPr>
      </w:pPr>
      <w:r w:rsidRPr="004D4D2A">
        <w:rPr>
          <w:rFonts w:asciiTheme="minorHAnsi" w:hAnsiTheme="minorHAnsi"/>
          <w:b/>
        </w:rPr>
        <w:t>III. Reasons to deviate from the default</w:t>
      </w:r>
    </w:p>
    <w:p w:rsidR="004C5EAC" w:rsidRPr="00C645B8" w:rsidRDefault="003D0FF2" w:rsidP="00A2460C">
      <w:pPr>
        <w:pStyle w:val="Default"/>
        <w:rPr>
          <w:rFonts w:asciiTheme="minorHAnsi" w:hAnsiTheme="minorHAnsi"/>
        </w:rPr>
      </w:pPr>
      <w:r>
        <w:rPr>
          <w:rFonts w:asciiTheme="minorHAnsi" w:hAnsiTheme="minorHAnsi"/>
        </w:rPr>
        <w:t>Other</w:t>
      </w:r>
      <w:r w:rsidR="008B1D44">
        <w:rPr>
          <w:rFonts w:asciiTheme="minorHAnsi" w:hAnsiTheme="minorHAnsi"/>
        </w:rPr>
        <w:t xml:space="preserve"> BMPs or site-specific water quality improvement projects</w:t>
      </w:r>
      <w:r>
        <w:rPr>
          <w:rFonts w:asciiTheme="minorHAnsi" w:hAnsiTheme="minorHAnsi"/>
        </w:rPr>
        <w:t xml:space="preserve"> may be eligible to generate credits based on review by the state agency. State agencies will use a standard review process for a new BMP </w:t>
      </w:r>
      <w:r w:rsidR="000E1E36">
        <w:rPr>
          <w:rFonts w:asciiTheme="minorHAnsi" w:hAnsiTheme="minorHAnsi"/>
        </w:rPr>
        <w:t xml:space="preserve">or project </w:t>
      </w:r>
      <w:r>
        <w:rPr>
          <w:rFonts w:asciiTheme="minorHAnsi" w:hAnsiTheme="minorHAnsi"/>
        </w:rPr>
        <w:t xml:space="preserve">that includes review of available quantification methods, development of minimum design standards, and expert review. There may be a lot of effective </w:t>
      </w:r>
      <w:r w:rsidR="000E1E36">
        <w:rPr>
          <w:rFonts w:asciiTheme="minorHAnsi" w:hAnsiTheme="minorHAnsi"/>
        </w:rPr>
        <w:t>practices</w:t>
      </w:r>
      <w:r>
        <w:rPr>
          <w:rFonts w:asciiTheme="minorHAnsi" w:hAnsiTheme="minorHAnsi"/>
        </w:rPr>
        <w:t xml:space="preserve">, but missing science or high variability in the quality of a BMP might preclude their eligibility to generate credits. Ideally, as many of the high priority BMPs are included in the table of </w:t>
      </w:r>
      <w:r w:rsidR="00460A2F">
        <w:rPr>
          <w:rFonts w:asciiTheme="minorHAnsi" w:hAnsiTheme="minorHAnsi"/>
        </w:rPr>
        <w:t>eligible</w:t>
      </w:r>
      <w:r>
        <w:rPr>
          <w:rFonts w:asciiTheme="minorHAnsi" w:hAnsiTheme="minorHAnsi"/>
        </w:rPr>
        <w:t xml:space="preserve"> actions.</w:t>
      </w:r>
    </w:p>
    <w:sectPr w:rsidR="004C5EAC" w:rsidRPr="00C645B8" w:rsidSect="00DD45F2">
      <w:footerReference w:type="default" r:id="rId8"/>
      <w:headerReference w:type="first" r:id="rId9"/>
      <w:footerReference w:type="first" r:id="rId10"/>
      <w:type w:val="continuous"/>
      <w:pgSz w:w="12240" w:h="15840"/>
      <w:pgMar w:top="1152" w:right="1152" w:bottom="720"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19A" w:rsidRDefault="0058619A" w:rsidP="00140B12">
      <w:r>
        <w:separator/>
      </w:r>
    </w:p>
  </w:endnote>
  <w:endnote w:type="continuationSeparator" w:id="0">
    <w:p w:rsidR="0058619A" w:rsidRDefault="0058619A" w:rsidP="00140B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07342"/>
      <w:docPartObj>
        <w:docPartGallery w:val="Page Numbers (Bottom of Page)"/>
        <w:docPartUnique/>
      </w:docPartObj>
    </w:sdtPr>
    <w:sdtContent>
      <w:sdt>
        <w:sdtPr>
          <w:id w:val="565050477"/>
          <w:docPartObj>
            <w:docPartGallery w:val="Page Numbers (Top of Page)"/>
            <w:docPartUnique/>
          </w:docPartObj>
        </w:sdtPr>
        <w:sdtContent>
          <w:p w:rsidR="005363E5" w:rsidRDefault="005363E5">
            <w:pPr>
              <w:pStyle w:val="Footer"/>
              <w:jc w:val="center"/>
            </w:pPr>
            <w:r>
              <w:t xml:space="preserve">Page </w:t>
            </w:r>
            <w:r w:rsidR="00C82800">
              <w:rPr>
                <w:b/>
                <w:sz w:val="24"/>
                <w:szCs w:val="24"/>
              </w:rPr>
              <w:fldChar w:fldCharType="begin"/>
            </w:r>
            <w:r>
              <w:rPr>
                <w:b/>
              </w:rPr>
              <w:instrText xml:space="preserve"> PAGE </w:instrText>
            </w:r>
            <w:r w:rsidR="00C82800">
              <w:rPr>
                <w:b/>
                <w:sz w:val="24"/>
                <w:szCs w:val="24"/>
              </w:rPr>
              <w:fldChar w:fldCharType="separate"/>
            </w:r>
            <w:r w:rsidR="00953F6E">
              <w:rPr>
                <w:b/>
                <w:noProof/>
              </w:rPr>
              <w:t>8</w:t>
            </w:r>
            <w:r w:rsidR="00C82800">
              <w:rPr>
                <w:b/>
                <w:sz w:val="24"/>
                <w:szCs w:val="24"/>
              </w:rPr>
              <w:fldChar w:fldCharType="end"/>
            </w:r>
            <w:r>
              <w:t xml:space="preserve"> of </w:t>
            </w:r>
            <w:r w:rsidR="00C82800">
              <w:rPr>
                <w:b/>
                <w:sz w:val="24"/>
                <w:szCs w:val="24"/>
              </w:rPr>
              <w:fldChar w:fldCharType="begin"/>
            </w:r>
            <w:r>
              <w:rPr>
                <w:b/>
              </w:rPr>
              <w:instrText xml:space="preserve"> NUMPAGES  </w:instrText>
            </w:r>
            <w:r w:rsidR="00C82800">
              <w:rPr>
                <w:b/>
                <w:sz w:val="24"/>
                <w:szCs w:val="24"/>
              </w:rPr>
              <w:fldChar w:fldCharType="separate"/>
            </w:r>
            <w:r w:rsidR="00953F6E">
              <w:rPr>
                <w:b/>
                <w:noProof/>
              </w:rPr>
              <w:t>8</w:t>
            </w:r>
            <w:r w:rsidR="00C82800">
              <w:rPr>
                <w:b/>
                <w:sz w:val="24"/>
                <w:szCs w:val="24"/>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346826"/>
      <w:docPartObj>
        <w:docPartGallery w:val="Page Numbers (Top of Page)"/>
        <w:docPartUnique/>
      </w:docPartObj>
    </w:sdtPr>
    <w:sdtContent>
      <w:p w:rsidR="00362530" w:rsidRDefault="00362530" w:rsidP="00362530">
        <w:pPr>
          <w:pStyle w:val="Footer"/>
          <w:jc w:val="center"/>
        </w:pPr>
        <w:r>
          <w:t xml:space="preserve">Page </w:t>
        </w:r>
        <w:r w:rsidR="00C82800">
          <w:rPr>
            <w:b/>
            <w:sz w:val="24"/>
            <w:szCs w:val="24"/>
          </w:rPr>
          <w:fldChar w:fldCharType="begin"/>
        </w:r>
        <w:r>
          <w:rPr>
            <w:b/>
          </w:rPr>
          <w:instrText xml:space="preserve"> PAGE </w:instrText>
        </w:r>
        <w:r w:rsidR="00C82800">
          <w:rPr>
            <w:b/>
            <w:sz w:val="24"/>
            <w:szCs w:val="24"/>
          </w:rPr>
          <w:fldChar w:fldCharType="separate"/>
        </w:r>
        <w:r w:rsidR="00953F6E">
          <w:rPr>
            <w:b/>
            <w:noProof/>
          </w:rPr>
          <w:t>1</w:t>
        </w:r>
        <w:r w:rsidR="00C82800">
          <w:rPr>
            <w:b/>
            <w:sz w:val="24"/>
            <w:szCs w:val="24"/>
          </w:rPr>
          <w:fldChar w:fldCharType="end"/>
        </w:r>
        <w:r>
          <w:t xml:space="preserve"> of </w:t>
        </w:r>
        <w:r w:rsidR="00C82800">
          <w:rPr>
            <w:b/>
            <w:sz w:val="24"/>
            <w:szCs w:val="24"/>
          </w:rPr>
          <w:fldChar w:fldCharType="begin"/>
        </w:r>
        <w:r>
          <w:rPr>
            <w:b/>
          </w:rPr>
          <w:instrText xml:space="preserve"> NUMPAGES  </w:instrText>
        </w:r>
        <w:r w:rsidR="00C82800">
          <w:rPr>
            <w:b/>
            <w:sz w:val="24"/>
            <w:szCs w:val="24"/>
          </w:rPr>
          <w:fldChar w:fldCharType="separate"/>
        </w:r>
        <w:r w:rsidR="00953F6E">
          <w:rPr>
            <w:b/>
            <w:noProof/>
          </w:rPr>
          <w:t>1</w:t>
        </w:r>
        <w:r w:rsidR="00C82800">
          <w:rPr>
            <w:b/>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19A" w:rsidRDefault="0058619A" w:rsidP="00140B12">
      <w:r>
        <w:separator/>
      </w:r>
    </w:p>
  </w:footnote>
  <w:footnote w:type="continuationSeparator" w:id="0">
    <w:p w:rsidR="0058619A" w:rsidRDefault="0058619A" w:rsidP="00140B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3E5" w:rsidRPr="005B25E8" w:rsidRDefault="005363E5" w:rsidP="005B25E8">
    <w:pPr>
      <w:pStyle w:val="Default"/>
      <w:spacing w:before="240"/>
      <w:rPr>
        <w:rFonts w:ascii="Palatino Linotype" w:hAnsi="Palatino Linotype" w:cs="Arial"/>
        <w:bCs/>
        <w:smallCaps/>
        <w:sz w:val="38"/>
        <w:szCs w:val="23"/>
      </w:rPr>
    </w:pPr>
    <w:r w:rsidRPr="005B25E8">
      <w:rPr>
        <w:rFonts w:ascii="Palatino Linotype" w:hAnsi="Palatino Linotype" w:cs="Arial"/>
        <w:bCs/>
        <w:smallCaps/>
        <w:sz w:val="38"/>
        <w:szCs w:val="23"/>
      </w:rPr>
      <w:t>Joint Regional A</w:t>
    </w:r>
    <w:r>
      <w:rPr>
        <w:rFonts w:ascii="Palatino Linotype" w:hAnsi="Palatino Linotype" w:cs="Arial"/>
        <w:bCs/>
        <w:smallCaps/>
        <w:sz w:val="38"/>
        <w:szCs w:val="23"/>
      </w:rPr>
      <w:t xml:space="preserve">greement </w:t>
    </w:r>
    <w:r w:rsidRPr="005B25E8">
      <w:rPr>
        <w:smallCaps/>
        <w:sz w:val="38"/>
      </w:rPr>
      <w:t>on Water Quality Trading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D72"/>
    <w:multiLevelType w:val="hybridMultilevel"/>
    <w:tmpl w:val="3806B9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94D5C"/>
    <w:multiLevelType w:val="hybridMultilevel"/>
    <w:tmpl w:val="B816A8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2502E"/>
    <w:multiLevelType w:val="hybridMultilevel"/>
    <w:tmpl w:val="179C3794"/>
    <w:lvl w:ilvl="0" w:tplc="04090011">
      <w:start w:val="1"/>
      <w:numFmt w:val="decimal"/>
      <w:lvlText w:val="%1)"/>
      <w:lvlJc w:val="left"/>
      <w:pPr>
        <w:ind w:left="720" w:hanging="360"/>
      </w:pPr>
    </w:lvl>
    <w:lvl w:ilvl="1" w:tplc="8D1CFBB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47C8B"/>
    <w:multiLevelType w:val="hybridMultilevel"/>
    <w:tmpl w:val="F9A49984"/>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C73BA7"/>
    <w:multiLevelType w:val="hybridMultilevel"/>
    <w:tmpl w:val="8C5E9474"/>
    <w:lvl w:ilvl="0" w:tplc="AE48A29C">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12A2B"/>
    <w:multiLevelType w:val="hybridMultilevel"/>
    <w:tmpl w:val="179C3794"/>
    <w:lvl w:ilvl="0" w:tplc="04090011">
      <w:start w:val="1"/>
      <w:numFmt w:val="decimal"/>
      <w:lvlText w:val="%1)"/>
      <w:lvlJc w:val="left"/>
      <w:pPr>
        <w:ind w:left="720" w:hanging="360"/>
      </w:pPr>
    </w:lvl>
    <w:lvl w:ilvl="1" w:tplc="8D1CFBB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D700E"/>
    <w:multiLevelType w:val="hybridMultilevel"/>
    <w:tmpl w:val="33769A10"/>
    <w:lvl w:ilvl="0" w:tplc="AE48A29C">
      <w:start w:val="1"/>
      <w:numFmt w:val="lowerLetter"/>
      <w:lvlText w:val="%1."/>
      <w:lvlJc w:val="left"/>
      <w:pPr>
        <w:ind w:left="144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033306"/>
    <w:multiLevelType w:val="hybridMultilevel"/>
    <w:tmpl w:val="715EA4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8722AA"/>
    <w:multiLevelType w:val="hybridMultilevel"/>
    <w:tmpl w:val="3176EE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B072BC"/>
    <w:multiLevelType w:val="hybridMultilevel"/>
    <w:tmpl w:val="3766A6FE"/>
    <w:lvl w:ilvl="0" w:tplc="0E866A98">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936B50"/>
    <w:multiLevelType w:val="hybridMultilevel"/>
    <w:tmpl w:val="126AC44C"/>
    <w:lvl w:ilvl="0" w:tplc="04090011">
      <w:start w:val="1"/>
      <w:numFmt w:val="decimal"/>
      <w:lvlText w:val="%1)"/>
      <w:lvlJc w:val="left"/>
      <w:pPr>
        <w:ind w:left="720" w:hanging="360"/>
      </w:pPr>
    </w:lvl>
    <w:lvl w:ilvl="1" w:tplc="8D1CFBBE">
      <w:start w:val="1"/>
      <w:numFmt w:val="lowerLetter"/>
      <w:lvlText w:val="%2."/>
      <w:lvlJc w:val="left"/>
      <w:pPr>
        <w:ind w:left="1440" w:hanging="360"/>
      </w:pPr>
      <w:rPr>
        <w:b w:val="0"/>
      </w:rPr>
    </w:lvl>
    <w:lvl w:ilvl="2" w:tplc="17BE5D0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E530C5"/>
    <w:multiLevelType w:val="hybridMultilevel"/>
    <w:tmpl w:val="126AC44C"/>
    <w:lvl w:ilvl="0" w:tplc="04090011">
      <w:start w:val="1"/>
      <w:numFmt w:val="decimal"/>
      <w:lvlText w:val="%1)"/>
      <w:lvlJc w:val="left"/>
      <w:pPr>
        <w:ind w:left="720" w:hanging="360"/>
      </w:pPr>
    </w:lvl>
    <w:lvl w:ilvl="1" w:tplc="8D1CFBBE">
      <w:start w:val="1"/>
      <w:numFmt w:val="lowerLetter"/>
      <w:lvlText w:val="%2."/>
      <w:lvlJc w:val="left"/>
      <w:pPr>
        <w:ind w:left="1440" w:hanging="360"/>
      </w:pPr>
      <w:rPr>
        <w:b w:val="0"/>
      </w:rPr>
    </w:lvl>
    <w:lvl w:ilvl="2" w:tplc="17BE5D0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62AEC"/>
    <w:multiLevelType w:val="hybridMultilevel"/>
    <w:tmpl w:val="D572F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0DA638C"/>
    <w:multiLevelType w:val="hybridMultilevel"/>
    <w:tmpl w:val="70AAA6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31019FE"/>
    <w:multiLevelType w:val="hybridMultilevel"/>
    <w:tmpl w:val="C8D8C450"/>
    <w:lvl w:ilvl="0" w:tplc="EE722D90">
      <w:start w:val="1"/>
      <w:numFmt w:val="lowerRoman"/>
      <w:lvlText w:val="%1."/>
      <w:lvlJc w:val="right"/>
      <w:pPr>
        <w:ind w:left="1620" w:hanging="180"/>
      </w:pPr>
      <w:rPr>
        <w:b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
    <w:nsid w:val="348A4423"/>
    <w:multiLevelType w:val="hybridMultilevel"/>
    <w:tmpl w:val="DB26C3FA"/>
    <w:lvl w:ilvl="0" w:tplc="0409001B">
      <w:start w:val="1"/>
      <w:numFmt w:val="lowerRoman"/>
      <w:lvlText w:val="%1."/>
      <w:lvlJc w:val="righ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6B9184F"/>
    <w:multiLevelType w:val="hybridMultilevel"/>
    <w:tmpl w:val="6BB2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0318B0"/>
    <w:multiLevelType w:val="hybridMultilevel"/>
    <w:tmpl w:val="A07EA4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B47B59"/>
    <w:multiLevelType w:val="hybridMultilevel"/>
    <w:tmpl w:val="0188FC02"/>
    <w:lvl w:ilvl="0" w:tplc="04090011">
      <w:start w:val="1"/>
      <w:numFmt w:val="decimal"/>
      <w:lvlText w:val="%1)"/>
      <w:lvlJc w:val="left"/>
      <w:pPr>
        <w:ind w:left="720" w:hanging="360"/>
      </w:pPr>
    </w:lvl>
    <w:lvl w:ilvl="1" w:tplc="6B483B8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4B751B"/>
    <w:multiLevelType w:val="hybridMultilevel"/>
    <w:tmpl w:val="AA309C8A"/>
    <w:lvl w:ilvl="0" w:tplc="04090001">
      <w:start w:val="1"/>
      <w:numFmt w:val="bullet"/>
      <w:lvlText w:val=""/>
      <w:lvlJc w:val="left"/>
      <w:pPr>
        <w:ind w:left="360" w:hanging="360"/>
      </w:pPr>
      <w:rPr>
        <w:rFonts w:ascii="Symbol" w:hAnsi="Symbol" w:hint="default"/>
      </w:rPr>
    </w:lvl>
    <w:lvl w:ilvl="1" w:tplc="AE48A29C">
      <w:start w:val="1"/>
      <w:numFmt w:val="lowerLetter"/>
      <w:lvlText w:val="%2."/>
      <w:lvlJc w:val="left"/>
      <w:pPr>
        <w:ind w:left="1080" w:hanging="360"/>
      </w:pPr>
      <w:rPr>
        <w:b w:val="0"/>
      </w:rPr>
    </w:lvl>
    <w:lvl w:ilvl="2" w:tplc="04090001">
      <w:start w:val="1"/>
      <w:numFmt w:val="bullet"/>
      <w:lvlText w:val=""/>
      <w:lvlJc w:val="left"/>
      <w:pPr>
        <w:ind w:left="1800" w:hanging="180"/>
      </w:pPr>
      <w:rPr>
        <w:rFonts w:ascii="Symbol" w:hAnsi="Symbol" w:hint="default"/>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6F7027"/>
    <w:multiLevelType w:val="hybridMultilevel"/>
    <w:tmpl w:val="7D56DD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462F39"/>
    <w:multiLevelType w:val="hybridMultilevel"/>
    <w:tmpl w:val="715EA4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6E3955"/>
    <w:multiLevelType w:val="hybridMultilevel"/>
    <w:tmpl w:val="066A6D20"/>
    <w:lvl w:ilvl="0" w:tplc="E17AC0DA">
      <w:start w:val="1"/>
      <w:numFmt w:val="upperRoman"/>
      <w:lvlText w:val="%1."/>
      <w:lvlJc w:val="left"/>
      <w:pPr>
        <w:ind w:left="1080" w:hanging="72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79C7425"/>
    <w:multiLevelType w:val="hybridMultilevel"/>
    <w:tmpl w:val="7BB8DA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C34D17"/>
    <w:multiLevelType w:val="hybridMultilevel"/>
    <w:tmpl w:val="0188FC02"/>
    <w:lvl w:ilvl="0" w:tplc="04090011">
      <w:start w:val="1"/>
      <w:numFmt w:val="decimal"/>
      <w:lvlText w:val="%1)"/>
      <w:lvlJc w:val="left"/>
      <w:pPr>
        <w:ind w:left="720" w:hanging="360"/>
      </w:pPr>
    </w:lvl>
    <w:lvl w:ilvl="1" w:tplc="6B483B8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0F5AD8"/>
    <w:multiLevelType w:val="hybridMultilevel"/>
    <w:tmpl w:val="281626E2"/>
    <w:lvl w:ilvl="0" w:tplc="27461514">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847D11"/>
    <w:multiLevelType w:val="hybridMultilevel"/>
    <w:tmpl w:val="981CF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2F728E"/>
    <w:multiLevelType w:val="hybridMultilevel"/>
    <w:tmpl w:val="194A7D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DD200C2"/>
    <w:multiLevelType w:val="hybridMultilevel"/>
    <w:tmpl w:val="678CE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0444BFD"/>
    <w:multiLevelType w:val="hybridMultilevel"/>
    <w:tmpl w:val="CDD03124"/>
    <w:lvl w:ilvl="0" w:tplc="AE48A29C">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420914"/>
    <w:multiLevelType w:val="hybridMultilevel"/>
    <w:tmpl w:val="CA5EF506"/>
    <w:lvl w:ilvl="0" w:tplc="04090011">
      <w:start w:val="1"/>
      <w:numFmt w:val="decimal"/>
      <w:lvlText w:val="%1)"/>
      <w:lvlJc w:val="left"/>
      <w:pPr>
        <w:ind w:left="720" w:hanging="360"/>
      </w:pPr>
    </w:lvl>
    <w:lvl w:ilvl="1" w:tplc="8D1CFBB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166020"/>
    <w:multiLevelType w:val="hybridMultilevel"/>
    <w:tmpl w:val="16528C36"/>
    <w:lvl w:ilvl="0" w:tplc="AF62BD18">
      <w:start w:val="1"/>
      <w:numFmt w:val="upperRoman"/>
      <w:lvlText w:val="%1."/>
      <w:lvlJc w:val="left"/>
      <w:pPr>
        <w:ind w:left="1080" w:hanging="720"/>
      </w:pPr>
      <w:rPr>
        <w:rFonts w:hint="default"/>
      </w:rPr>
    </w:lvl>
    <w:lvl w:ilvl="1" w:tplc="8EC6B87A">
      <w:start w:val="1"/>
      <w:numFmt w:val="decimal"/>
      <w:lvlText w:val="%2)"/>
      <w:lvlJc w:val="left"/>
      <w:pPr>
        <w:ind w:left="1440" w:hanging="360"/>
      </w:pPr>
      <w:rPr>
        <w:rFonts w:asciiTheme="minorHAnsi" w:eastAsiaTheme="minorHAnsi" w:hAnsiTheme="min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B23D24"/>
    <w:multiLevelType w:val="hybridMultilevel"/>
    <w:tmpl w:val="BC34C072"/>
    <w:lvl w:ilvl="0" w:tplc="8D1CFBB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68112C"/>
    <w:multiLevelType w:val="hybridMultilevel"/>
    <w:tmpl w:val="3176EE6E"/>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7C1A5267"/>
    <w:multiLevelType w:val="hybridMultilevel"/>
    <w:tmpl w:val="C88AF4DC"/>
    <w:lvl w:ilvl="0" w:tplc="0D6688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0446F1"/>
    <w:multiLevelType w:val="hybridMultilevel"/>
    <w:tmpl w:val="A50C68BC"/>
    <w:lvl w:ilvl="0" w:tplc="8D1CFBB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6"/>
  </w:num>
  <w:num w:numId="3">
    <w:abstractNumId w:val="3"/>
  </w:num>
  <w:num w:numId="4">
    <w:abstractNumId w:val="20"/>
  </w:num>
  <w:num w:numId="5">
    <w:abstractNumId w:val="8"/>
  </w:num>
  <w:num w:numId="6">
    <w:abstractNumId w:val="33"/>
  </w:num>
  <w:num w:numId="7">
    <w:abstractNumId w:val="27"/>
  </w:num>
  <w:num w:numId="8">
    <w:abstractNumId w:val="22"/>
  </w:num>
  <w:num w:numId="9">
    <w:abstractNumId w:val="15"/>
  </w:num>
  <w:num w:numId="10">
    <w:abstractNumId w:val="19"/>
  </w:num>
  <w:num w:numId="11">
    <w:abstractNumId w:val="17"/>
  </w:num>
  <w:num w:numId="12">
    <w:abstractNumId w:val="21"/>
  </w:num>
  <w:num w:numId="13">
    <w:abstractNumId w:val="5"/>
  </w:num>
  <w:num w:numId="14">
    <w:abstractNumId w:val="10"/>
  </w:num>
  <w:num w:numId="15">
    <w:abstractNumId w:val="30"/>
  </w:num>
  <w:num w:numId="16">
    <w:abstractNumId w:val="11"/>
  </w:num>
  <w:num w:numId="17">
    <w:abstractNumId w:val="1"/>
  </w:num>
  <w:num w:numId="18">
    <w:abstractNumId w:val="24"/>
  </w:num>
  <w:num w:numId="19">
    <w:abstractNumId w:val="2"/>
  </w:num>
  <w:num w:numId="20">
    <w:abstractNumId w:val="32"/>
  </w:num>
  <w:num w:numId="21">
    <w:abstractNumId w:val="35"/>
  </w:num>
  <w:num w:numId="22">
    <w:abstractNumId w:val="9"/>
  </w:num>
  <w:num w:numId="23">
    <w:abstractNumId w:val="7"/>
  </w:num>
  <w:num w:numId="24">
    <w:abstractNumId w:val="18"/>
  </w:num>
  <w:num w:numId="25">
    <w:abstractNumId w:val="14"/>
  </w:num>
  <w:num w:numId="26">
    <w:abstractNumId w:val="2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3"/>
  </w:num>
  <w:num w:numId="31">
    <w:abstractNumId w:val="29"/>
  </w:num>
  <w:num w:numId="32">
    <w:abstractNumId w:val="4"/>
  </w:num>
  <w:num w:numId="33">
    <w:abstractNumId w:val="6"/>
  </w:num>
  <w:num w:numId="34">
    <w:abstractNumId w:val="34"/>
  </w:num>
  <w:num w:numId="35">
    <w:abstractNumId w:val="23"/>
  </w:num>
  <w:num w:numId="36">
    <w:abstractNumId w:val="25"/>
  </w:num>
  <w:num w:numId="37">
    <w:abstractNumId w:val="0"/>
  </w:num>
  <w:num w:numId="38">
    <w:abstractNumId w:val="28"/>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2678D9"/>
    <w:rsid w:val="00004C3A"/>
    <w:rsid w:val="00011E60"/>
    <w:rsid w:val="00011F86"/>
    <w:rsid w:val="0001448E"/>
    <w:rsid w:val="000160AE"/>
    <w:rsid w:val="00026488"/>
    <w:rsid w:val="0003184E"/>
    <w:rsid w:val="000373B5"/>
    <w:rsid w:val="00044CBB"/>
    <w:rsid w:val="00047497"/>
    <w:rsid w:val="0005547C"/>
    <w:rsid w:val="000554B2"/>
    <w:rsid w:val="00056020"/>
    <w:rsid w:val="000619BB"/>
    <w:rsid w:val="00062F34"/>
    <w:rsid w:val="00072F16"/>
    <w:rsid w:val="00077AAD"/>
    <w:rsid w:val="000814C0"/>
    <w:rsid w:val="00084BFD"/>
    <w:rsid w:val="00092F7D"/>
    <w:rsid w:val="00094731"/>
    <w:rsid w:val="00094957"/>
    <w:rsid w:val="000A2CE9"/>
    <w:rsid w:val="000A43EB"/>
    <w:rsid w:val="000A4C46"/>
    <w:rsid w:val="000B2DF9"/>
    <w:rsid w:val="000B67D5"/>
    <w:rsid w:val="000B743B"/>
    <w:rsid w:val="000C33FC"/>
    <w:rsid w:val="000C54FD"/>
    <w:rsid w:val="000C6EFA"/>
    <w:rsid w:val="000D73A0"/>
    <w:rsid w:val="000E1E36"/>
    <w:rsid w:val="000E3740"/>
    <w:rsid w:val="00103D62"/>
    <w:rsid w:val="001070BC"/>
    <w:rsid w:val="00114AFF"/>
    <w:rsid w:val="00126B59"/>
    <w:rsid w:val="00130E20"/>
    <w:rsid w:val="00135857"/>
    <w:rsid w:val="00140B12"/>
    <w:rsid w:val="001423B1"/>
    <w:rsid w:val="00144E81"/>
    <w:rsid w:val="00146BA4"/>
    <w:rsid w:val="00154859"/>
    <w:rsid w:val="001616CF"/>
    <w:rsid w:val="0016608A"/>
    <w:rsid w:val="001749AB"/>
    <w:rsid w:val="00176C07"/>
    <w:rsid w:val="00176D12"/>
    <w:rsid w:val="001818A0"/>
    <w:rsid w:val="00186510"/>
    <w:rsid w:val="00195A1E"/>
    <w:rsid w:val="001A19C2"/>
    <w:rsid w:val="001A49E4"/>
    <w:rsid w:val="001A5F39"/>
    <w:rsid w:val="001A774D"/>
    <w:rsid w:val="001B133E"/>
    <w:rsid w:val="001D1716"/>
    <w:rsid w:val="001E2C2A"/>
    <w:rsid w:val="001F1159"/>
    <w:rsid w:val="00201D3A"/>
    <w:rsid w:val="00203F4B"/>
    <w:rsid w:val="0021440A"/>
    <w:rsid w:val="002201A0"/>
    <w:rsid w:val="002326AE"/>
    <w:rsid w:val="00233AC6"/>
    <w:rsid w:val="00240B73"/>
    <w:rsid w:val="0026059E"/>
    <w:rsid w:val="002619F2"/>
    <w:rsid w:val="0026244F"/>
    <w:rsid w:val="002624FB"/>
    <w:rsid w:val="002678D9"/>
    <w:rsid w:val="002744F1"/>
    <w:rsid w:val="00275435"/>
    <w:rsid w:val="00282D9D"/>
    <w:rsid w:val="00287693"/>
    <w:rsid w:val="002939B2"/>
    <w:rsid w:val="0029498A"/>
    <w:rsid w:val="002A192B"/>
    <w:rsid w:val="002A2180"/>
    <w:rsid w:val="002C1814"/>
    <w:rsid w:val="002C46B1"/>
    <w:rsid w:val="002C560F"/>
    <w:rsid w:val="002D5A89"/>
    <w:rsid w:val="002E4DD3"/>
    <w:rsid w:val="002F4866"/>
    <w:rsid w:val="002F647F"/>
    <w:rsid w:val="002F79D0"/>
    <w:rsid w:val="003018E3"/>
    <w:rsid w:val="0030421C"/>
    <w:rsid w:val="003163B9"/>
    <w:rsid w:val="00320307"/>
    <w:rsid w:val="0032126C"/>
    <w:rsid w:val="003229E4"/>
    <w:rsid w:val="00327669"/>
    <w:rsid w:val="00331A5E"/>
    <w:rsid w:val="00333231"/>
    <w:rsid w:val="003460ED"/>
    <w:rsid w:val="00357DAE"/>
    <w:rsid w:val="00362530"/>
    <w:rsid w:val="003802F8"/>
    <w:rsid w:val="003B1705"/>
    <w:rsid w:val="003B3E0D"/>
    <w:rsid w:val="003C71AE"/>
    <w:rsid w:val="003D0FF2"/>
    <w:rsid w:val="003F1535"/>
    <w:rsid w:val="0040345E"/>
    <w:rsid w:val="0040475D"/>
    <w:rsid w:val="00415677"/>
    <w:rsid w:val="0042435D"/>
    <w:rsid w:val="004271C3"/>
    <w:rsid w:val="00434E56"/>
    <w:rsid w:val="00436BAA"/>
    <w:rsid w:val="0043757A"/>
    <w:rsid w:val="0044397C"/>
    <w:rsid w:val="00444FBD"/>
    <w:rsid w:val="004454D2"/>
    <w:rsid w:val="004550A7"/>
    <w:rsid w:val="00456AB4"/>
    <w:rsid w:val="00460A2F"/>
    <w:rsid w:val="004659E3"/>
    <w:rsid w:val="004676B8"/>
    <w:rsid w:val="004751AE"/>
    <w:rsid w:val="0048004F"/>
    <w:rsid w:val="00485250"/>
    <w:rsid w:val="004947E5"/>
    <w:rsid w:val="004C004B"/>
    <w:rsid w:val="004C329F"/>
    <w:rsid w:val="004C5EAC"/>
    <w:rsid w:val="004D4D2A"/>
    <w:rsid w:val="004D570A"/>
    <w:rsid w:val="004E4237"/>
    <w:rsid w:val="004F59C4"/>
    <w:rsid w:val="005031D7"/>
    <w:rsid w:val="0051036D"/>
    <w:rsid w:val="00515CB9"/>
    <w:rsid w:val="0052036A"/>
    <w:rsid w:val="00522C0B"/>
    <w:rsid w:val="005312BB"/>
    <w:rsid w:val="00531DA3"/>
    <w:rsid w:val="00533108"/>
    <w:rsid w:val="005337AF"/>
    <w:rsid w:val="005363E5"/>
    <w:rsid w:val="0053648F"/>
    <w:rsid w:val="00537173"/>
    <w:rsid w:val="00545203"/>
    <w:rsid w:val="005606E2"/>
    <w:rsid w:val="005616B3"/>
    <w:rsid w:val="0056392E"/>
    <w:rsid w:val="005719B3"/>
    <w:rsid w:val="00572599"/>
    <w:rsid w:val="0057512E"/>
    <w:rsid w:val="00580F3E"/>
    <w:rsid w:val="00582E09"/>
    <w:rsid w:val="00583410"/>
    <w:rsid w:val="0058619A"/>
    <w:rsid w:val="005878E9"/>
    <w:rsid w:val="005922CF"/>
    <w:rsid w:val="00592ED2"/>
    <w:rsid w:val="00594D2E"/>
    <w:rsid w:val="005978F7"/>
    <w:rsid w:val="005B25E8"/>
    <w:rsid w:val="005C0D83"/>
    <w:rsid w:val="005C15DE"/>
    <w:rsid w:val="005C2F46"/>
    <w:rsid w:val="005C3FA8"/>
    <w:rsid w:val="005D2D42"/>
    <w:rsid w:val="005D3091"/>
    <w:rsid w:val="005D55C4"/>
    <w:rsid w:val="005D58F9"/>
    <w:rsid w:val="005E4597"/>
    <w:rsid w:val="005F0D62"/>
    <w:rsid w:val="005F1369"/>
    <w:rsid w:val="005F693D"/>
    <w:rsid w:val="005F6D3C"/>
    <w:rsid w:val="006023AD"/>
    <w:rsid w:val="006068AE"/>
    <w:rsid w:val="006076FB"/>
    <w:rsid w:val="0061055F"/>
    <w:rsid w:val="006208B7"/>
    <w:rsid w:val="006227F9"/>
    <w:rsid w:val="00623D22"/>
    <w:rsid w:val="00624CFF"/>
    <w:rsid w:val="00626A95"/>
    <w:rsid w:val="00626D7B"/>
    <w:rsid w:val="00630FC9"/>
    <w:rsid w:val="006341B4"/>
    <w:rsid w:val="00643D66"/>
    <w:rsid w:val="00644782"/>
    <w:rsid w:val="00646E11"/>
    <w:rsid w:val="0065595C"/>
    <w:rsid w:val="00670938"/>
    <w:rsid w:val="006724CB"/>
    <w:rsid w:val="00674BEE"/>
    <w:rsid w:val="0068311C"/>
    <w:rsid w:val="00684AA9"/>
    <w:rsid w:val="006908E0"/>
    <w:rsid w:val="00691BFD"/>
    <w:rsid w:val="00695E16"/>
    <w:rsid w:val="006A6794"/>
    <w:rsid w:val="006A73AD"/>
    <w:rsid w:val="006B46DF"/>
    <w:rsid w:val="006B6C39"/>
    <w:rsid w:val="006C6A91"/>
    <w:rsid w:val="006D41D0"/>
    <w:rsid w:val="006D4687"/>
    <w:rsid w:val="006D48FF"/>
    <w:rsid w:val="00703624"/>
    <w:rsid w:val="00710EDB"/>
    <w:rsid w:val="007125DE"/>
    <w:rsid w:val="00715017"/>
    <w:rsid w:val="00715AFD"/>
    <w:rsid w:val="00715B3A"/>
    <w:rsid w:val="007211A1"/>
    <w:rsid w:val="00721425"/>
    <w:rsid w:val="00726DDC"/>
    <w:rsid w:val="00731A68"/>
    <w:rsid w:val="00735C24"/>
    <w:rsid w:val="0078415D"/>
    <w:rsid w:val="007911FD"/>
    <w:rsid w:val="00793FE2"/>
    <w:rsid w:val="007940BA"/>
    <w:rsid w:val="007A1AF8"/>
    <w:rsid w:val="007A2E2A"/>
    <w:rsid w:val="007B0F5C"/>
    <w:rsid w:val="007B5882"/>
    <w:rsid w:val="007C2D0D"/>
    <w:rsid w:val="007D2CEE"/>
    <w:rsid w:val="007E0D53"/>
    <w:rsid w:val="007E25D5"/>
    <w:rsid w:val="0080231C"/>
    <w:rsid w:val="0081507E"/>
    <w:rsid w:val="0082038B"/>
    <w:rsid w:val="00827723"/>
    <w:rsid w:val="0083023D"/>
    <w:rsid w:val="00831189"/>
    <w:rsid w:val="00832023"/>
    <w:rsid w:val="00833451"/>
    <w:rsid w:val="00841EC0"/>
    <w:rsid w:val="00842F98"/>
    <w:rsid w:val="00844F0E"/>
    <w:rsid w:val="00851E0E"/>
    <w:rsid w:val="00873B17"/>
    <w:rsid w:val="00882EF6"/>
    <w:rsid w:val="008845E9"/>
    <w:rsid w:val="00892981"/>
    <w:rsid w:val="008A3E42"/>
    <w:rsid w:val="008B1D44"/>
    <w:rsid w:val="008B4EAF"/>
    <w:rsid w:val="008C13B9"/>
    <w:rsid w:val="008C1A39"/>
    <w:rsid w:val="008C346C"/>
    <w:rsid w:val="008C7FF4"/>
    <w:rsid w:val="008D3A10"/>
    <w:rsid w:val="008D3B49"/>
    <w:rsid w:val="008E06B8"/>
    <w:rsid w:val="008E11C7"/>
    <w:rsid w:val="008E2A8D"/>
    <w:rsid w:val="008E5F62"/>
    <w:rsid w:val="008F28EE"/>
    <w:rsid w:val="008F7A4E"/>
    <w:rsid w:val="0091053B"/>
    <w:rsid w:val="009112CE"/>
    <w:rsid w:val="00911C8F"/>
    <w:rsid w:val="00911F2B"/>
    <w:rsid w:val="009128B7"/>
    <w:rsid w:val="00912B3E"/>
    <w:rsid w:val="009154BC"/>
    <w:rsid w:val="00916783"/>
    <w:rsid w:val="00925954"/>
    <w:rsid w:val="00931BF3"/>
    <w:rsid w:val="00934CE4"/>
    <w:rsid w:val="009427B0"/>
    <w:rsid w:val="00953F6E"/>
    <w:rsid w:val="009554CC"/>
    <w:rsid w:val="00975ECB"/>
    <w:rsid w:val="00984BC2"/>
    <w:rsid w:val="00997849"/>
    <w:rsid w:val="009A3950"/>
    <w:rsid w:val="009A5E52"/>
    <w:rsid w:val="009B1832"/>
    <w:rsid w:val="009B24EB"/>
    <w:rsid w:val="009B54D1"/>
    <w:rsid w:val="009C108E"/>
    <w:rsid w:val="009C3DBD"/>
    <w:rsid w:val="009C755C"/>
    <w:rsid w:val="009D1A95"/>
    <w:rsid w:val="009D219F"/>
    <w:rsid w:val="009D22EC"/>
    <w:rsid w:val="009E5D88"/>
    <w:rsid w:val="009F0FA1"/>
    <w:rsid w:val="009F29F2"/>
    <w:rsid w:val="009F6E2F"/>
    <w:rsid w:val="00A12339"/>
    <w:rsid w:val="00A1279E"/>
    <w:rsid w:val="00A130C6"/>
    <w:rsid w:val="00A23C39"/>
    <w:rsid w:val="00A2460C"/>
    <w:rsid w:val="00A24933"/>
    <w:rsid w:val="00A24B18"/>
    <w:rsid w:val="00A30A61"/>
    <w:rsid w:val="00A33EDE"/>
    <w:rsid w:val="00A34F79"/>
    <w:rsid w:val="00A37C2F"/>
    <w:rsid w:val="00A407BF"/>
    <w:rsid w:val="00A62F16"/>
    <w:rsid w:val="00A64934"/>
    <w:rsid w:val="00A64E61"/>
    <w:rsid w:val="00A666CE"/>
    <w:rsid w:val="00A723B8"/>
    <w:rsid w:val="00A821E9"/>
    <w:rsid w:val="00A86E44"/>
    <w:rsid w:val="00A87A82"/>
    <w:rsid w:val="00A96ED5"/>
    <w:rsid w:val="00AA0C01"/>
    <w:rsid w:val="00AA420C"/>
    <w:rsid w:val="00AA52F2"/>
    <w:rsid w:val="00AB094E"/>
    <w:rsid w:val="00AD0C56"/>
    <w:rsid w:val="00AD7159"/>
    <w:rsid w:val="00AE1171"/>
    <w:rsid w:val="00AE1B19"/>
    <w:rsid w:val="00AF1A73"/>
    <w:rsid w:val="00B01386"/>
    <w:rsid w:val="00B04D63"/>
    <w:rsid w:val="00B11D9E"/>
    <w:rsid w:val="00B12313"/>
    <w:rsid w:val="00B2001C"/>
    <w:rsid w:val="00B21C55"/>
    <w:rsid w:val="00B279B3"/>
    <w:rsid w:val="00B3425D"/>
    <w:rsid w:val="00B40F3A"/>
    <w:rsid w:val="00B51530"/>
    <w:rsid w:val="00B51823"/>
    <w:rsid w:val="00B556DF"/>
    <w:rsid w:val="00B6012C"/>
    <w:rsid w:val="00B61B11"/>
    <w:rsid w:val="00B658A7"/>
    <w:rsid w:val="00B675DC"/>
    <w:rsid w:val="00B70584"/>
    <w:rsid w:val="00B76865"/>
    <w:rsid w:val="00B77B82"/>
    <w:rsid w:val="00B827BD"/>
    <w:rsid w:val="00B83382"/>
    <w:rsid w:val="00B94345"/>
    <w:rsid w:val="00B94774"/>
    <w:rsid w:val="00BA05DC"/>
    <w:rsid w:val="00BB4057"/>
    <w:rsid w:val="00BC4599"/>
    <w:rsid w:val="00BC61D0"/>
    <w:rsid w:val="00BD10E5"/>
    <w:rsid w:val="00BD385D"/>
    <w:rsid w:val="00BD40D7"/>
    <w:rsid w:val="00BD5212"/>
    <w:rsid w:val="00BD6BCB"/>
    <w:rsid w:val="00BF1300"/>
    <w:rsid w:val="00BF1C96"/>
    <w:rsid w:val="00BF3ECC"/>
    <w:rsid w:val="00BF410C"/>
    <w:rsid w:val="00BF6FC0"/>
    <w:rsid w:val="00C06CA8"/>
    <w:rsid w:val="00C106CE"/>
    <w:rsid w:val="00C13EE8"/>
    <w:rsid w:val="00C14B98"/>
    <w:rsid w:val="00C275A8"/>
    <w:rsid w:val="00C35AC8"/>
    <w:rsid w:val="00C37145"/>
    <w:rsid w:val="00C37C44"/>
    <w:rsid w:val="00C4057D"/>
    <w:rsid w:val="00C47626"/>
    <w:rsid w:val="00C53C1E"/>
    <w:rsid w:val="00C54D82"/>
    <w:rsid w:val="00C56F94"/>
    <w:rsid w:val="00C616A9"/>
    <w:rsid w:val="00C645B8"/>
    <w:rsid w:val="00C652B2"/>
    <w:rsid w:val="00C67617"/>
    <w:rsid w:val="00C70410"/>
    <w:rsid w:val="00C73B0A"/>
    <w:rsid w:val="00C755AB"/>
    <w:rsid w:val="00C81943"/>
    <w:rsid w:val="00C823CE"/>
    <w:rsid w:val="00C82800"/>
    <w:rsid w:val="00C83007"/>
    <w:rsid w:val="00C8425A"/>
    <w:rsid w:val="00C95781"/>
    <w:rsid w:val="00C95B49"/>
    <w:rsid w:val="00CA5E7E"/>
    <w:rsid w:val="00CB536B"/>
    <w:rsid w:val="00CC4CC7"/>
    <w:rsid w:val="00CD1442"/>
    <w:rsid w:val="00CD6D0A"/>
    <w:rsid w:val="00CD7F1C"/>
    <w:rsid w:val="00CE45E8"/>
    <w:rsid w:val="00CE6F22"/>
    <w:rsid w:val="00D01D61"/>
    <w:rsid w:val="00D06414"/>
    <w:rsid w:val="00D102E5"/>
    <w:rsid w:val="00D1235E"/>
    <w:rsid w:val="00D136A7"/>
    <w:rsid w:val="00D14DD1"/>
    <w:rsid w:val="00D16CE1"/>
    <w:rsid w:val="00D17ED4"/>
    <w:rsid w:val="00D21316"/>
    <w:rsid w:val="00D224C6"/>
    <w:rsid w:val="00D23FD0"/>
    <w:rsid w:val="00D42153"/>
    <w:rsid w:val="00D44BF4"/>
    <w:rsid w:val="00D66489"/>
    <w:rsid w:val="00D708A4"/>
    <w:rsid w:val="00D76591"/>
    <w:rsid w:val="00D80E61"/>
    <w:rsid w:val="00D81457"/>
    <w:rsid w:val="00D865CC"/>
    <w:rsid w:val="00D9385C"/>
    <w:rsid w:val="00D9563B"/>
    <w:rsid w:val="00DA6BF6"/>
    <w:rsid w:val="00DB29C3"/>
    <w:rsid w:val="00DB5E42"/>
    <w:rsid w:val="00DC3E41"/>
    <w:rsid w:val="00DC72AF"/>
    <w:rsid w:val="00DC7A6C"/>
    <w:rsid w:val="00DD45F2"/>
    <w:rsid w:val="00DE50D0"/>
    <w:rsid w:val="00DF2D71"/>
    <w:rsid w:val="00E04AC5"/>
    <w:rsid w:val="00E100E4"/>
    <w:rsid w:val="00E20040"/>
    <w:rsid w:val="00E206EB"/>
    <w:rsid w:val="00E341B8"/>
    <w:rsid w:val="00E3449D"/>
    <w:rsid w:val="00E4083E"/>
    <w:rsid w:val="00E441D9"/>
    <w:rsid w:val="00E519FC"/>
    <w:rsid w:val="00E54A90"/>
    <w:rsid w:val="00E715EB"/>
    <w:rsid w:val="00E76C6F"/>
    <w:rsid w:val="00E8378C"/>
    <w:rsid w:val="00E87A35"/>
    <w:rsid w:val="00E95826"/>
    <w:rsid w:val="00EA02B7"/>
    <w:rsid w:val="00EA18C2"/>
    <w:rsid w:val="00EA5787"/>
    <w:rsid w:val="00EB1BC6"/>
    <w:rsid w:val="00EC2323"/>
    <w:rsid w:val="00EC302B"/>
    <w:rsid w:val="00ED4AD7"/>
    <w:rsid w:val="00EE11B0"/>
    <w:rsid w:val="00EE191A"/>
    <w:rsid w:val="00EE1B41"/>
    <w:rsid w:val="00F15CB5"/>
    <w:rsid w:val="00F169E7"/>
    <w:rsid w:val="00F25D74"/>
    <w:rsid w:val="00F30E35"/>
    <w:rsid w:val="00F35288"/>
    <w:rsid w:val="00F404B5"/>
    <w:rsid w:val="00F4110F"/>
    <w:rsid w:val="00F41870"/>
    <w:rsid w:val="00F456C3"/>
    <w:rsid w:val="00F50E95"/>
    <w:rsid w:val="00F519DF"/>
    <w:rsid w:val="00F55DC8"/>
    <w:rsid w:val="00F57689"/>
    <w:rsid w:val="00F57D25"/>
    <w:rsid w:val="00F74622"/>
    <w:rsid w:val="00F80DF4"/>
    <w:rsid w:val="00F81AB6"/>
    <w:rsid w:val="00F83318"/>
    <w:rsid w:val="00F94471"/>
    <w:rsid w:val="00F94F03"/>
    <w:rsid w:val="00F95671"/>
    <w:rsid w:val="00F958AC"/>
    <w:rsid w:val="00FB388D"/>
    <w:rsid w:val="00FB4EEB"/>
    <w:rsid w:val="00FC0946"/>
    <w:rsid w:val="00FD6BE9"/>
    <w:rsid w:val="00FF5269"/>
    <w:rsid w:val="00FF68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D9"/>
    <w:pPr>
      <w:spacing w:after="0" w:line="240" w:lineRule="auto"/>
    </w:pPr>
    <w:rPr>
      <w:rFonts w:ascii="Calibri" w:hAnsi="Calibri" w:cs="Times New Roman"/>
    </w:rPr>
  </w:style>
  <w:style w:type="paragraph" w:styleId="Heading2">
    <w:name w:val="heading 2"/>
    <w:basedOn w:val="Default"/>
    <w:next w:val="Normal"/>
    <w:link w:val="Heading2Char"/>
    <w:uiPriority w:val="9"/>
    <w:unhideWhenUsed/>
    <w:qFormat/>
    <w:rsid w:val="00E206EB"/>
    <w:pPr>
      <w:spacing w:before="600"/>
      <w:outlineLvl w:val="1"/>
    </w:pPr>
    <w:rPr>
      <w:rFonts w:ascii="Palatino Linotype" w:hAnsi="Palatino Linotype" w:cs="Arial"/>
      <w:bCs/>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D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rsid w:val="002678D9"/>
    <w:rPr>
      <w:sz w:val="16"/>
      <w:szCs w:val="16"/>
    </w:rPr>
  </w:style>
  <w:style w:type="paragraph" w:styleId="CommentText">
    <w:name w:val="annotation text"/>
    <w:basedOn w:val="Normal"/>
    <w:link w:val="CommentTextChar"/>
    <w:rsid w:val="002678D9"/>
    <w:rPr>
      <w:sz w:val="20"/>
      <w:szCs w:val="20"/>
    </w:rPr>
  </w:style>
  <w:style w:type="character" w:customStyle="1" w:styleId="CommentTextChar">
    <w:name w:val="Comment Text Char"/>
    <w:basedOn w:val="DefaultParagraphFont"/>
    <w:link w:val="CommentText"/>
    <w:rsid w:val="002678D9"/>
    <w:rPr>
      <w:sz w:val="20"/>
      <w:szCs w:val="20"/>
    </w:rPr>
  </w:style>
  <w:style w:type="paragraph" w:styleId="Header">
    <w:name w:val="header"/>
    <w:basedOn w:val="Normal"/>
    <w:link w:val="HeaderChar"/>
    <w:rsid w:val="002678D9"/>
    <w:pPr>
      <w:tabs>
        <w:tab w:val="center" w:pos="4680"/>
        <w:tab w:val="right" w:pos="9360"/>
      </w:tabs>
    </w:pPr>
  </w:style>
  <w:style w:type="character" w:customStyle="1" w:styleId="HeaderChar">
    <w:name w:val="Header Char"/>
    <w:basedOn w:val="DefaultParagraphFont"/>
    <w:link w:val="Header"/>
    <w:rsid w:val="002678D9"/>
  </w:style>
  <w:style w:type="paragraph" w:styleId="Footer">
    <w:name w:val="footer"/>
    <w:basedOn w:val="Normal"/>
    <w:link w:val="FooterChar"/>
    <w:uiPriority w:val="99"/>
    <w:rsid w:val="002678D9"/>
    <w:pPr>
      <w:tabs>
        <w:tab w:val="center" w:pos="4680"/>
        <w:tab w:val="right" w:pos="9360"/>
      </w:tabs>
    </w:pPr>
  </w:style>
  <w:style w:type="character" w:customStyle="1" w:styleId="FooterChar">
    <w:name w:val="Footer Char"/>
    <w:basedOn w:val="DefaultParagraphFont"/>
    <w:link w:val="Footer"/>
    <w:uiPriority w:val="99"/>
    <w:rsid w:val="002678D9"/>
  </w:style>
  <w:style w:type="paragraph" w:styleId="BalloonText">
    <w:name w:val="Balloon Text"/>
    <w:basedOn w:val="Normal"/>
    <w:link w:val="BalloonTextChar"/>
    <w:uiPriority w:val="99"/>
    <w:semiHidden/>
    <w:unhideWhenUsed/>
    <w:rsid w:val="002678D9"/>
    <w:rPr>
      <w:rFonts w:ascii="Tahoma" w:hAnsi="Tahoma" w:cs="Tahoma"/>
      <w:sz w:val="16"/>
      <w:szCs w:val="16"/>
    </w:rPr>
  </w:style>
  <w:style w:type="character" w:customStyle="1" w:styleId="BalloonTextChar">
    <w:name w:val="Balloon Text Char"/>
    <w:basedOn w:val="DefaultParagraphFont"/>
    <w:link w:val="BalloonText"/>
    <w:uiPriority w:val="99"/>
    <w:semiHidden/>
    <w:rsid w:val="002678D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678D9"/>
    <w:rPr>
      <w:b/>
      <w:bCs/>
    </w:rPr>
  </w:style>
  <w:style w:type="character" w:customStyle="1" w:styleId="CommentSubjectChar">
    <w:name w:val="Comment Subject Char"/>
    <w:basedOn w:val="CommentTextChar"/>
    <w:link w:val="CommentSubject"/>
    <w:uiPriority w:val="99"/>
    <w:semiHidden/>
    <w:rsid w:val="002678D9"/>
    <w:rPr>
      <w:b/>
      <w:bCs/>
      <w:sz w:val="20"/>
      <w:szCs w:val="20"/>
    </w:rPr>
  </w:style>
  <w:style w:type="paragraph" w:styleId="ListParagraph">
    <w:name w:val="List Paragraph"/>
    <w:basedOn w:val="Normal"/>
    <w:uiPriority w:val="34"/>
    <w:qFormat/>
    <w:rsid w:val="002678D9"/>
    <w:pPr>
      <w:ind w:left="720"/>
    </w:pPr>
  </w:style>
  <w:style w:type="character" w:styleId="Hyperlink">
    <w:name w:val="Hyperlink"/>
    <w:basedOn w:val="DefaultParagraphFont"/>
    <w:uiPriority w:val="99"/>
    <w:unhideWhenUsed/>
    <w:rsid w:val="007B0F5C"/>
    <w:rPr>
      <w:color w:val="0000FF" w:themeColor="hyperlink"/>
      <w:u w:val="single"/>
    </w:rPr>
  </w:style>
  <w:style w:type="paragraph" w:styleId="FootnoteText">
    <w:name w:val="footnote text"/>
    <w:basedOn w:val="Normal"/>
    <w:link w:val="FootnoteTextChar"/>
    <w:uiPriority w:val="99"/>
    <w:semiHidden/>
    <w:rsid w:val="006341B4"/>
    <w:rPr>
      <w:rFonts w:ascii="Times New Roman" w:eastAsia="Calibri" w:hAnsi="Times New Roman"/>
      <w:sz w:val="20"/>
      <w:szCs w:val="20"/>
    </w:rPr>
  </w:style>
  <w:style w:type="character" w:customStyle="1" w:styleId="FootnoteTextChar">
    <w:name w:val="Footnote Text Char"/>
    <w:basedOn w:val="DefaultParagraphFont"/>
    <w:link w:val="FootnoteText"/>
    <w:uiPriority w:val="99"/>
    <w:semiHidden/>
    <w:rsid w:val="006341B4"/>
    <w:rPr>
      <w:rFonts w:ascii="Times New Roman" w:eastAsia="Calibri" w:hAnsi="Times New Roman" w:cs="Times New Roman"/>
      <w:sz w:val="20"/>
      <w:szCs w:val="20"/>
    </w:rPr>
  </w:style>
  <w:style w:type="character" w:styleId="FootnoteReference">
    <w:name w:val="footnote reference"/>
    <w:basedOn w:val="DefaultParagraphFont"/>
    <w:uiPriority w:val="99"/>
    <w:semiHidden/>
    <w:rsid w:val="006341B4"/>
    <w:rPr>
      <w:rFonts w:cs="Times New Roman"/>
      <w:vertAlign w:val="superscript"/>
    </w:rPr>
  </w:style>
  <w:style w:type="table" w:styleId="TableGrid">
    <w:name w:val="Table Grid"/>
    <w:basedOn w:val="TableNormal"/>
    <w:uiPriority w:val="59"/>
    <w:rsid w:val="003D0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206EB"/>
    <w:rPr>
      <w:rFonts w:ascii="Palatino Linotype" w:hAnsi="Palatino Linotype" w:cs="Arial"/>
      <w:bCs/>
      <w:color w:val="000000"/>
      <w:sz w:val="28"/>
      <w:szCs w:val="23"/>
    </w:rPr>
  </w:style>
  <w:style w:type="paragraph" w:styleId="TOC2">
    <w:name w:val="toc 2"/>
    <w:basedOn w:val="Normal"/>
    <w:next w:val="Normal"/>
    <w:autoRedefine/>
    <w:uiPriority w:val="39"/>
    <w:unhideWhenUsed/>
    <w:rsid w:val="00F94F03"/>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D9"/>
    <w:pPr>
      <w:spacing w:after="0" w:line="240" w:lineRule="auto"/>
    </w:pPr>
    <w:rPr>
      <w:rFonts w:ascii="Calibri" w:hAnsi="Calibri" w:cs="Times New Roman"/>
    </w:rPr>
  </w:style>
  <w:style w:type="paragraph" w:styleId="Heading2">
    <w:name w:val="heading 2"/>
    <w:basedOn w:val="Default"/>
    <w:next w:val="Normal"/>
    <w:link w:val="Heading2Char"/>
    <w:uiPriority w:val="9"/>
    <w:unhideWhenUsed/>
    <w:qFormat/>
    <w:rsid w:val="00E206EB"/>
    <w:pPr>
      <w:spacing w:before="600"/>
      <w:outlineLvl w:val="1"/>
    </w:pPr>
    <w:rPr>
      <w:rFonts w:ascii="Palatino Linotype" w:hAnsi="Palatino Linotype" w:cs="Arial"/>
      <w:bCs/>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D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rsid w:val="002678D9"/>
    <w:rPr>
      <w:sz w:val="16"/>
      <w:szCs w:val="16"/>
    </w:rPr>
  </w:style>
  <w:style w:type="paragraph" w:styleId="CommentText">
    <w:name w:val="annotation text"/>
    <w:basedOn w:val="Normal"/>
    <w:link w:val="CommentTextChar"/>
    <w:rsid w:val="002678D9"/>
    <w:rPr>
      <w:sz w:val="20"/>
      <w:szCs w:val="20"/>
    </w:rPr>
  </w:style>
  <w:style w:type="character" w:customStyle="1" w:styleId="CommentTextChar">
    <w:name w:val="Comment Text Char"/>
    <w:basedOn w:val="DefaultParagraphFont"/>
    <w:link w:val="CommentText"/>
    <w:rsid w:val="002678D9"/>
    <w:rPr>
      <w:sz w:val="20"/>
      <w:szCs w:val="20"/>
    </w:rPr>
  </w:style>
  <w:style w:type="paragraph" w:styleId="Header">
    <w:name w:val="header"/>
    <w:basedOn w:val="Normal"/>
    <w:link w:val="HeaderChar"/>
    <w:rsid w:val="002678D9"/>
    <w:pPr>
      <w:tabs>
        <w:tab w:val="center" w:pos="4680"/>
        <w:tab w:val="right" w:pos="9360"/>
      </w:tabs>
    </w:pPr>
  </w:style>
  <w:style w:type="character" w:customStyle="1" w:styleId="HeaderChar">
    <w:name w:val="Header Char"/>
    <w:basedOn w:val="DefaultParagraphFont"/>
    <w:link w:val="Header"/>
    <w:rsid w:val="002678D9"/>
  </w:style>
  <w:style w:type="paragraph" w:styleId="Footer">
    <w:name w:val="footer"/>
    <w:basedOn w:val="Normal"/>
    <w:link w:val="FooterChar"/>
    <w:uiPriority w:val="99"/>
    <w:rsid w:val="002678D9"/>
    <w:pPr>
      <w:tabs>
        <w:tab w:val="center" w:pos="4680"/>
        <w:tab w:val="right" w:pos="9360"/>
      </w:tabs>
    </w:pPr>
  </w:style>
  <w:style w:type="character" w:customStyle="1" w:styleId="FooterChar">
    <w:name w:val="Footer Char"/>
    <w:basedOn w:val="DefaultParagraphFont"/>
    <w:link w:val="Footer"/>
    <w:uiPriority w:val="99"/>
    <w:rsid w:val="002678D9"/>
  </w:style>
  <w:style w:type="paragraph" w:styleId="BalloonText">
    <w:name w:val="Balloon Text"/>
    <w:basedOn w:val="Normal"/>
    <w:link w:val="BalloonTextChar"/>
    <w:uiPriority w:val="99"/>
    <w:semiHidden/>
    <w:unhideWhenUsed/>
    <w:rsid w:val="002678D9"/>
    <w:rPr>
      <w:rFonts w:ascii="Tahoma" w:hAnsi="Tahoma" w:cs="Tahoma"/>
      <w:sz w:val="16"/>
      <w:szCs w:val="16"/>
    </w:rPr>
  </w:style>
  <w:style w:type="character" w:customStyle="1" w:styleId="BalloonTextChar">
    <w:name w:val="Balloon Text Char"/>
    <w:basedOn w:val="DefaultParagraphFont"/>
    <w:link w:val="BalloonText"/>
    <w:uiPriority w:val="99"/>
    <w:semiHidden/>
    <w:rsid w:val="002678D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678D9"/>
    <w:rPr>
      <w:b/>
      <w:bCs/>
    </w:rPr>
  </w:style>
  <w:style w:type="character" w:customStyle="1" w:styleId="CommentSubjectChar">
    <w:name w:val="Comment Subject Char"/>
    <w:basedOn w:val="CommentTextChar"/>
    <w:link w:val="CommentSubject"/>
    <w:uiPriority w:val="99"/>
    <w:semiHidden/>
    <w:rsid w:val="002678D9"/>
    <w:rPr>
      <w:b/>
      <w:bCs/>
      <w:sz w:val="20"/>
      <w:szCs w:val="20"/>
    </w:rPr>
  </w:style>
  <w:style w:type="paragraph" w:styleId="ListParagraph">
    <w:name w:val="List Paragraph"/>
    <w:basedOn w:val="Normal"/>
    <w:uiPriority w:val="34"/>
    <w:qFormat/>
    <w:rsid w:val="002678D9"/>
    <w:pPr>
      <w:ind w:left="720"/>
    </w:pPr>
  </w:style>
  <w:style w:type="character" w:styleId="Hyperlink">
    <w:name w:val="Hyperlink"/>
    <w:basedOn w:val="DefaultParagraphFont"/>
    <w:uiPriority w:val="99"/>
    <w:unhideWhenUsed/>
    <w:rsid w:val="007B0F5C"/>
    <w:rPr>
      <w:color w:val="0000FF" w:themeColor="hyperlink"/>
      <w:u w:val="single"/>
    </w:rPr>
  </w:style>
  <w:style w:type="paragraph" w:styleId="FootnoteText">
    <w:name w:val="footnote text"/>
    <w:basedOn w:val="Normal"/>
    <w:link w:val="FootnoteTextChar"/>
    <w:uiPriority w:val="99"/>
    <w:semiHidden/>
    <w:rsid w:val="006341B4"/>
    <w:rPr>
      <w:rFonts w:ascii="Times New Roman" w:eastAsia="Calibri" w:hAnsi="Times New Roman"/>
      <w:sz w:val="20"/>
      <w:szCs w:val="20"/>
    </w:rPr>
  </w:style>
  <w:style w:type="character" w:customStyle="1" w:styleId="FootnoteTextChar">
    <w:name w:val="Footnote Text Char"/>
    <w:basedOn w:val="DefaultParagraphFont"/>
    <w:link w:val="FootnoteText"/>
    <w:uiPriority w:val="99"/>
    <w:semiHidden/>
    <w:rsid w:val="006341B4"/>
    <w:rPr>
      <w:rFonts w:ascii="Times New Roman" w:eastAsia="Calibri" w:hAnsi="Times New Roman" w:cs="Times New Roman"/>
      <w:sz w:val="20"/>
      <w:szCs w:val="20"/>
    </w:rPr>
  </w:style>
  <w:style w:type="character" w:styleId="FootnoteReference">
    <w:name w:val="footnote reference"/>
    <w:basedOn w:val="DefaultParagraphFont"/>
    <w:uiPriority w:val="99"/>
    <w:semiHidden/>
    <w:rsid w:val="006341B4"/>
    <w:rPr>
      <w:rFonts w:cs="Times New Roman"/>
      <w:vertAlign w:val="superscript"/>
    </w:rPr>
  </w:style>
  <w:style w:type="table" w:styleId="TableGrid">
    <w:name w:val="Table Grid"/>
    <w:basedOn w:val="TableNormal"/>
    <w:uiPriority w:val="59"/>
    <w:rsid w:val="003D0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206EB"/>
    <w:rPr>
      <w:rFonts w:ascii="Palatino Linotype" w:hAnsi="Palatino Linotype" w:cs="Arial"/>
      <w:bCs/>
      <w:color w:val="000000"/>
      <w:sz w:val="28"/>
      <w:szCs w:val="23"/>
    </w:rPr>
  </w:style>
  <w:style w:type="paragraph" w:styleId="TOC2">
    <w:name w:val="toc 2"/>
    <w:basedOn w:val="Normal"/>
    <w:next w:val="Normal"/>
    <w:autoRedefine/>
    <w:uiPriority w:val="39"/>
    <w:unhideWhenUsed/>
    <w:rsid w:val="00F94F03"/>
    <w:pPr>
      <w:spacing w:after="100"/>
      <w:ind w:left="220"/>
    </w:pPr>
  </w:style>
</w:styles>
</file>

<file path=word/webSettings.xml><?xml version="1.0" encoding="utf-8"?>
<w:webSettings xmlns:r="http://schemas.openxmlformats.org/officeDocument/2006/relationships" xmlns:w="http://schemas.openxmlformats.org/wordprocessingml/2006/main">
  <w:divs>
    <w:div w:id="282856586">
      <w:bodyDiv w:val="1"/>
      <w:marLeft w:val="0"/>
      <w:marRight w:val="0"/>
      <w:marTop w:val="0"/>
      <w:marBottom w:val="0"/>
      <w:divBdr>
        <w:top w:val="none" w:sz="0" w:space="0" w:color="auto"/>
        <w:left w:val="none" w:sz="0" w:space="0" w:color="auto"/>
        <w:bottom w:val="none" w:sz="0" w:space="0" w:color="auto"/>
        <w:right w:val="none" w:sz="0" w:space="0" w:color="auto"/>
      </w:divBdr>
    </w:div>
    <w:div w:id="684013557">
      <w:bodyDiv w:val="1"/>
      <w:marLeft w:val="0"/>
      <w:marRight w:val="0"/>
      <w:marTop w:val="0"/>
      <w:marBottom w:val="0"/>
      <w:divBdr>
        <w:top w:val="none" w:sz="0" w:space="0" w:color="auto"/>
        <w:left w:val="none" w:sz="0" w:space="0" w:color="auto"/>
        <w:bottom w:val="none" w:sz="0" w:space="0" w:color="auto"/>
        <w:right w:val="none" w:sz="0" w:space="0" w:color="auto"/>
      </w:divBdr>
    </w:div>
    <w:div w:id="734623824">
      <w:bodyDiv w:val="1"/>
      <w:marLeft w:val="0"/>
      <w:marRight w:val="0"/>
      <w:marTop w:val="0"/>
      <w:marBottom w:val="0"/>
      <w:divBdr>
        <w:top w:val="none" w:sz="0" w:space="0" w:color="auto"/>
        <w:left w:val="none" w:sz="0" w:space="0" w:color="auto"/>
        <w:bottom w:val="none" w:sz="0" w:space="0" w:color="auto"/>
        <w:right w:val="none" w:sz="0" w:space="0" w:color="auto"/>
      </w:divBdr>
    </w:div>
    <w:div w:id="815756561">
      <w:bodyDiv w:val="1"/>
      <w:marLeft w:val="0"/>
      <w:marRight w:val="0"/>
      <w:marTop w:val="0"/>
      <w:marBottom w:val="0"/>
      <w:divBdr>
        <w:top w:val="none" w:sz="0" w:space="0" w:color="auto"/>
        <w:left w:val="none" w:sz="0" w:space="0" w:color="auto"/>
        <w:bottom w:val="none" w:sz="0" w:space="0" w:color="auto"/>
        <w:right w:val="none" w:sz="0" w:space="0" w:color="auto"/>
      </w:divBdr>
      <w:divsChild>
        <w:div w:id="856652403">
          <w:marLeft w:val="0"/>
          <w:marRight w:val="0"/>
          <w:marTop w:val="0"/>
          <w:marBottom w:val="0"/>
          <w:divBdr>
            <w:top w:val="none" w:sz="0" w:space="0" w:color="auto"/>
            <w:left w:val="none" w:sz="0" w:space="0" w:color="auto"/>
            <w:bottom w:val="none" w:sz="0" w:space="0" w:color="auto"/>
            <w:right w:val="none" w:sz="0" w:space="0" w:color="auto"/>
          </w:divBdr>
          <w:divsChild>
            <w:div w:id="1821770361">
              <w:marLeft w:val="0"/>
              <w:marRight w:val="0"/>
              <w:marTop w:val="0"/>
              <w:marBottom w:val="0"/>
              <w:divBdr>
                <w:top w:val="none" w:sz="0" w:space="0" w:color="auto"/>
                <w:left w:val="none" w:sz="0" w:space="0" w:color="auto"/>
                <w:bottom w:val="none" w:sz="0" w:space="0" w:color="auto"/>
                <w:right w:val="none" w:sz="0" w:space="0" w:color="auto"/>
              </w:divBdr>
            </w:div>
            <w:div w:id="1730112015">
              <w:marLeft w:val="0"/>
              <w:marRight w:val="0"/>
              <w:marTop w:val="0"/>
              <w:marBottom w:val="0"/>
              <w:divBdr>
                <w:top w:val="none" w:sz="0" w:space="0" w:color="auto"/>
                <w:left w:val="none" w:sz="0" w:space="0" w:color="auto"/>
                <w:bottom w:val="none" w:sz="0" w:space="0" w:color="auto"/>
                <w:right w:val="none" w:sz="0" w:space="0" w:color="auto"/>
              </w:divBdr>
            </w:div>
            <w:div w:id="1817524345">
              <w:marLeft w:val="0"/>
              <w:marRight w:val="0"/>
              <w:marTop w:val="0"/>
              <w:marBottom w:val="0"/>
              <w:divBdr>
                <w:top w:val="none" w:sz="0" w:space="0" w:color="auto"/>
                <w:left w:val="none" w:sz="0" w:space="0" w:color="auto"/>
                <w:bottom w:val="none" w:sz="0" w:space="0" w:color="auto"/>
                <w:right w:val="none" w:sz="0" w:space="0" w:color="auto"/>
              </w:divBdr>
            </w:div>
            <w:div w:id="2782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3913">
      <w:bodyDiv w:val="1"/>
      <w:marLeft w:val="0"/>
      <w:marRight w:val="0"/>
      <w:marTop w:val="0"/>
      <w:marBottom w:val="0"/>
      <w:divBdr>
        <w:top w:val="none" w:sz="0" w:space="0" w:color="auto"/>
        <w:left w:val="none" w:sz="0" w:space="0" w:color="auto"/>
        <w:bottom w:val="none" w:sz="0" w:space="0" w:color="auto"/>
        <w:right w:val="none" w:sz="0" w:space="0" w:color="auto"/>
      </w:divBdr>
    </w:div>
    <w:div w:id="1428187809">
      <w:bodyDiv w:val="1"/>
      <w:marLeft w:val="0"/>
      <w:marRight w:val="0"/>
      <w:marTop w:val="0"/>
      <w:marBottom w:val="0"/>
      <w:divBdr>
        <w:top w:val="none" w:sz="0" w:space="0" w:color="auto"/>
        <w:left w:val="none" w:sz="0" w:space="0" w:color="auto"/>
        <w:bottom w:val="none" w:sz="0" w:space="0" w:color="auto"/>
        <w:right w:val="none" w:sz="0" w:space="0" w:color="auto"/>
      </w:divBdr>
    </w:div>
    <w:div w:id="1624654678">
      <w:bodyDiv w:val="1"/>
      <w:marLeft w:val="0"/>
      <w:marRight w:val="0"/>
      <w:marTop w:val="0"/>
      <w:marBottom w:val="0"/>
      <w:divBdr>
        <w:top w:val="none" w:sz="0" w:space="0" w:color="auto"/>
        <w:left w:val="none" w:sz="0" w:space="0" w:color="auto"/>
        <w:bottom w:val="none" w:sz="0" w:space="0" w:color="auto"/>
        <w:right w:val="none" w:sz="0" w:space="0" w:color="auto"/>
      </w:divBdr>
    </w:div>
    <w:div w:id="1629434103">
      <w:bodyDiv w:val="1"/>
      <w:marLeft w:val="0"/>
      <w:marRight w:val="0"/>
      <w:marTop w:val="0"/>
      <w:marBottom w:val="0"/>
      <w:divBdr>
        <w:top w:val="none" w:sz="0" w:space="0" w:color="auto"/>
        <w:left w:val="none" w:sz="0" w:space="0" w:color="auto"/>
        <w:bottom w:val="none" w:sz="0" w:space="0" w:color="auto"/>
        <w:right w:val="none" w:sz="0" w:space="0" w:color="auto"/>
      </w:divBdr>
    </w:div>
    <w:div w:id="1660619935">
      <w:bodyDiv w:val="1"/>
      <w:marLeft w:val="0"/>
      <w:marRight w:val="0"/>
      <w:marTop w:val="0"/>
      <w:marBottom w:val="0"/>
      <w:divBdr>
        <w:top w:val="none" w:sz="0" w:space="0" w:color="auto"/>
        <w:left w:val="none" w:sz="0" w:space="0" w:color="auto"/>
        <w:bottom w:val="none" w:sz="0" w:space="0" w:color="auto"/>
        <w:right w:val="none" w:sz="0" w:space="0" w:color="auto"/>
      </w:divBdr>
    </w:div>
    <w:div w:id="169641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E3E7A-3550-4033-A827-587B8D3EC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3091</Words>
  <Characters>17620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cschary</cp:lastModifiedBy>
  <cp:revision>2</cp:revision>
  <cp:lastPrinted>2013-03-26T23:38:00Z</cp:lastPrinted>
  <dcterms:created xsi:type="dcterms:W3CDTF">2013-03-27T19:06:00Z</dcterms:created>
  <dcterms:modified xsi:type="dcterms:W3CDTF">2013-03-27T19:06:00Z</dcterms:modified>
</cp:coreProperties>
</file>