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5E8" w:rsidRDefault="005B25E8" w:rsidP="00DD45F2">
      <w:pPr>
        <w:pStyle w:val="Default"/>
        <w:pBdr>
          <w:bottom w:val="single" w:sz="4" w:space="1" w:color="auto"/>
        </w:pBdr>
        <w:rPr>
          <w:rFonts w:ascii="Palatino Linotype" w:hAnsi="Palatino Linotype" w:cs="Arial"/>
          <w:b/>
          <w:bCs/>
          <w:sz w:val="28"/>
          <w:szCs w:val="23"/>
        </w:rPr>
      </w:pPr>
    </w:p>
    <w:p w:rsidR="00D431A9" w:rsidRDefault="00D431A9" w:rsidP="00811E71">
      <w:pPr>
        <w:pStyle w:val="Default"/>
        <w:pBdr>
          <w:bottom w:val="single" w:sz="4" w:space="1" w:color="auto"/>
        </w:pBdr>
        <w:spacing w:before="120" w:after="120"/>
        <w:rPr>
          <w:rFonts w:ascii="Palatino Linotype" w:hAnsi="Palatino Linotype" w:cs="Arial"/>
          <w:b/>
          <w:bCs/>
          <w:sz w:val="28"/>
          <w:szCs w:val="23"/>
        </w:rPr>
      </w:pPr>
      <w:r>
        <w:rPr>
          <w:rFonts w:ascii="Palatino Linotype" w:hAnsi="Palatino Linotype" w:cs="Arial"/>
          <w:b/>
          <w:bCs/>
          <w:sz w:val="28"/>
          <w:szCs w:val="23"/>
        </w:rPr>
        <w:t xml:space="preserve">Discussion Guide, </w:t>
      </w:r>
      <w:r w:rsidR="00F13DA4">
        <w:rPr>
          <w:rFonts w:ascii="Palatino Linotype" w:hAnsi="Palatino Linotype" w:cs="Arial"/>
          <w:b/>
          <w:bCs/>
          <w:sz w:val="28"/>
          <w:szCs w:val="23"/>
        </w:rPr>
        <w:t>June 5</w:t>
      </w:r>
      <w:r w:rsidR="00811E71">
        <w:rPr>
          <w:rFonts w:ascii="Palatino Linotype" w:hAnsi="Palatino Linotype" w:cs="Arial"/>
          <w:b/>
          <w:bCs/>
          <w:sz w:val="28"/>
          <w:szCs w:val="23"/>
        </w:rPr>
        <w:t>-6</w:t>
      </w:r>
      <w:r w:rsidR="00811E71" w:rsidRPr="00811E71">
        <w:rPr>
          <w:rFonts w:ascii="Palatino Linotype" w:hAnsi="Palatino Linotype" w:cs="Arial"/>
          <w:b/>
          <w:bCs/>
          <w:sz w:val="28"/>
          <w:szCs w:val="23"/>
          <w:vertAlign w:val="superscript"/>
        </w:rPr>
        <w:t>th</w:t>
      </w:r>
      <w:r>
        <w:rPr>
          <w:rFonts w:ascii="Palatino Linotype" w:hAnsi="Palatino Linotype" w:cs="Arial"/>
          <w:b/>
          <w:bCs/>
          <w:sz w:val="28"/>
          <w:szCs w:val="23"/>
        </w:rPr>
        <w:t>, 2013</w:t>
      </w:r>
    </w:p>
    <w:p w:rsidR="00730FEB" w:rsidRDefault="00730FEB" w:rsidP="00730FEB">
      <w:pPr>
        <w:pStyle w:val="Default"/>
        <w:pBdr>
          <w:bottom w:val="single" w:sz="4" w:space="1" w:color="auto"/>
        </w:pBdr>
        <w:spacing w:before="360"/>
        <w:rPr>
          <w:rFonts w:ascii="Palatino Linotype" w:hAnsi="Palatino Linotype" w:cs="Arial"/>
          <w:b/>
          <w:bCs/>
          <w:sz w:val="28"/>
          <w:szCs w:val="23"/>
        </w:rPr>
      </w:pPr>
      <w:r>
        <w:rPr>
          <w:rFonts w:ascii="Garamond" w:hAnsi="Garamond"/>
        </w:rPr>
        <w:t>This</w:t>
      </w:r>
      <w:r w:rsidRPr="00DD6338">
        <w:rPr>
          <w:rFonts w:ascii="Garamond" w:hAnsi="Garamond"/>
        </w:rPr>
        <w:t xml:space="preserve"> Discussion Guide is </w:t>
      </w:r>
      <w:r>
        <w:rPr>
          <w:rFonts w:ascii="Garamond" w:hAnsi="Garamond"/>
        </w:rPr>
        <w:t>intended to provide</w:t>
      </w:r>
      <w:r w:rsidRPr="00DD6338">
        <w:rPr>
          <w:rFonts w:ascii="Garamond" w:hAnsi="Garamond"/>
        </w:rPr>
        <w:t xml:space="preserve"> definitions, context, analysis, and options for addressing various components of water quality trading programs</w:t>
      </w:r>
      <w:r w:rsidR="00811E71">
        <w:rPr>
          <w:rFonts w:ascii="Garamond" w:hAnsi="Garamond"/>
        </w:rPr>
        <w:t xml:space="preserve">. </w:t>
      </w:r>
      <w:r>
        <w:rPr>
          <w:rFonts w:ascii="Garamond" w:hAnsi="Garamond"/>
        </w:rPr>
        <w:t xml:space="preserve">It poses </w:t>
      </w:r>
      <w:r w:rsidRPr="00DD6338">
        <w:rPr>
          <w:rFonts w:ascii="Garamond" w:hAnsi="Garamond"/>
        </w:rPr>
        <w:t xml:space="preserve">questions that will be discussed at </w:t>
      </w:r>
      <w:r>
        <w:rPr>
          <w:rFonts w:ascii="Garamond" w:hAnsi="Garamond"/>
        </w:rPr>
        <w:t>the interagency workshops. This document</w:t>
      </w:r>
      <w:r w:rsidRPr="00DD6338">
        <w:rPr>
          <w:rFonts w:ascii="Garamond" w:hAnsi="Garamond"/>
        </w:rPr>
        <w:t xml:space="preserve"> may reference other trading programs, examples</w:t>
      </w:r>
      <w:r>
        <w:rPr>
          <w:rFonts w:ascii="Garamond" w:hAnsi="Garamond"/>
        </w:rPr>
        <w:t>,</w:t>
      </w:r>
      <w:r w:rsidRPr="00DD6338">
        <w:rPr>
          <w:rFonts w:ascii="Garamond" w:hAnsi="Garamond"/>
        </w:rPr>
        <w:t xml:space="preserve"> or documents</w:t>
      </w:r>
      <w:r>
        <w:rPr>
          <w:rFonts w:ascii="Garamond" w:hAnsi="Garamond"/>
        </w:rPr>
        <w:t>, but is</w:t>
      </w:r>
      <w:r w:rsidRPr="00DD6338">
        <w:rPr>
          <w:rFonts w:ascii="Garamond" w:hAnsi="Garamond"/>
        </w:rPr>
        <w:t xml:space="preserve"> not intended to serve as </w:t>
      </w:r>
      <w:r>
        <w:rPr>
          <w:rFonts w:ascii="Garamond" w:hAnsi="Garamond"/>
        </w:rPr>
        <w:t xml:space="preserve">a published report </w:t>
      </w:r>
      <w:r w:rsidRPr="00DD6338">
        <w:rPr>
          <w:rFonts w:ascii="Garamond" w:hAnsi="Garamond"/>
        </w:rPr>
        <w:t xml:space="preserve">or white paper and thus will not </w:t>
      </w:r>
      <w:r>
        <w:rPr>
          <w:rFonts w:ascii="Garamond" w:hAnsi="Garamond"/>
        </w:rPr>
        <w:t>be extensively cited. This document</w:t>
      </w:r>
      <w:r w:rsidRPr="00DD6338">
        <w:rPr>
          <w:rFonts w:ascii="Garamond" w:hAnsi="Garamond"/>
        </w:rPr>
        <w:t xml:space="preserve"> will be included in the workshop packet and posted online following each workshop.</w:t>
      </w:r>
    </w:p>
    <w:p w:rsidR="00D431A9" w:rsidRPr="009E6D3F" w:rsidRDefault="00F13DA4" w:rsidP="00965566">
      <w:pPr>
        <w:pStyle w:val="Default"/>
        <w:pBdr>
          <w:bottom w:val="single" w:sz="4" w:space="1" w:color="auto"/>
        </w:pBdr>
        <w:spacing w:before="360"/>
        <w:rPr>
          <w:rFonts w:ascii="Palatino Linotype" w:hAnsi="Palatino Linotype" w:cs="Arial"/>
          <w:b/>
          <w:bCs/>
          <w:sz w:val="28"/>
          <w:szCs w:val="23"/>
        </w:rPr>
      </w:pPr>
      <w:r>
        <w:rPr>
          <w:rFonts w:ascii="Palatino Linotype" w:hAnsi="Palatino Linotype" w:cs="Arial"/>
          <w:b/>
          <w:bCs/>
          <w:sz w:val="28"/>
          <w:szCs w:val="23"/>
        </w:rPr>
        <w:t>2</w:t>
      </w:r>
      <w:r w:rsidR="00293864">
        <w:rPr>
          <w:rFonts w:ascii="Palatino Linotype" w:hAnsi="Palatino Linotype" w:cs="Arial"/>
          <w:b/>
          <w:bCs/>
          <w:sz w:val="28"/>
          <w:szCs w:val="23"/>
        </w:rPr>
        <w:t xml:space="preserve">. </w:t>
      </w:r>
      <w:r>
        <w:rPr>
          <w:rFonts w:ascii="Palatino Linotype" w:hAnsi="Palatino Linotype" w:cs="Arial"/>
          <w:b/>
          <w:bCs/>
          <w:sz w:val="28"/>
        </w:rPr>
        <w:t>Overall Trading Program Requirements</w:t>
      </w:r>
    </w:p>
    <w:p w:rsidR="008C2F65" w:rsidRPr="005E5519" w:rsidRDefault="008C2F65" w:rsidP="00811E71">
      <w:pPr>
        <w:spacing w:before="120"/>
        <w:rPr>
          <w:sz w:val="24"/>
        </w:rPr>
      </w:pPr>
      <w:r w:rsidRPr="005E5519">
        <w:rPr>
          <w:sz w:val="24"/>
        </w:rPr>
        <w:t xml:space="preserve">This section describes </w:t>
      </w:r>
      <w:r w:rsidR="005771F7">
        <w:rPr>
          <w:sz w:val="24"/>
        </w:rPr>
        <w:t>some of the most fundamental design components for a tradi</w:t>
      </w:r>
      <w:r w:rsidR="006F4BB2">
        <w:rPr>
          <w:sz w:val="24"/>
        </w:rPr>
        <w:t>ng program. From trading ratios</w:t>
      </w:r>
      <w:r w:rsidR="005771F7">
        <w:rPr>
          <w:sz w:val="24"/>
        </w:rPr>
        <w:t xml:space="preserve"> to reserves, and from baseline to other additionality requirements, these elements provide a foundational part of a solid trading program. </w:t>
      </w:r>
      <w:r w:rsidRPr="005E5519">
        <w:rPr>
          <w:sz w:val="24"/>
        </w:rPr>
        <w:t xml:space="preserve">Considerations and </w:t>
      </w:r>
      <w:r w:rsidR="0064431B" w:rsidRPr="005E5519">
        <w:rPr>
          <w:sz w:val="24"/>
        </w:rPr>
        <w:t>options</w:t>
      </w:r>
      <w:r w:rsidRPr="005E5519">
        <w:rPr>
          <w:sz w:val="24"/>
        </w:rPr>
        <w:t xml:space="preserve"> are presented for the following components</w:t>
      </w:r>
      <w:r w:rsidR="00811E71">
        <w:rPr>
          <w:sz w:val="24"/>
        </w:rPr>
        <w:t>, numbered corresponding to the organization of the Tier 2 draft outline</w:t>
      </w:r>
      <w:r w:rsidRPr="005E5519">
        <w:rPr>
          <w:sz w:val="24"/>
        </w:rPr>
        <w:t>:</w:t>
      </w:r>
    </w:p>
    <w:sdt>
      <w:sdtPr>
        <w:rPr>
          <w:rFonts w:ascii="Calibri" w:eastAsiaTheme="minorHAnsi" w:hAnsi="Calibri" w:cs="Times New Roman"/>
          <w:b w:val="0"/>
          <w:bCs w:val="0"/>
          <w:color w:val="auto"/>
          <w:sz w:val="22"/>
          <w:szCs w:val="22"/>
          <w:lang w:eastAsia="en-US"/>
        </w:rPr>
        <w:id w:val="-1232310290"/>
        <w:docPartObj>
          <w:docPartGallery w:val="Table of Contents"/>
          <w:docPartUnique/>
        </w:docPartObj>
      </w:sdtPr>
      <w:sdtEndPr>
        <w:rPr>
          <w:noProof/>
        </w:rPr>
      </w:sdtEndPr>
      <w:sdtContent>
        <w:p w:rsidR="00996C39" w:rsidRDefault="00996C39" w:rsidP="00730FEB">
          <w:pPr>
            <w:pStyle w:val="TOCHeading"/>
            <w:spacing w:before="0"/>
          </w:pPr>
        </w:p>
        <w:p w:rsidR="00BB763F" w:rsidRDefault="004200D1">
          <w:pPr>
            <w:pStyle w:val="TOC2"/>
            <w:tabs>
              <w:tab w:val="right" w:leader="dot" w:pos="9926"/>
            </w:tabs>
            <w:rPr>
              <w:rFonts w:asciiTheme="minorHAnsi" w:eastAsiaTheme="minorEastAsia" w:hAnsiTheme="minorHAnsi" w:cstheme="minorBidi"/>
              <w:noProof/>
              <w:sz w:val="24"/>
              <w:szCs w:val="24"/>
            </w:rPr>
          </w:pPr>
          <w:r>
            <w:fldChar w:fldCharType="begin"/>
          </w:r>
          <w:r w:rsidR="00996C39">
            <w:instrText xml:space="preserve"> TOC \o "1-3" \h \z \u </w:instrText>
          </w:r>
          <w:r>
            <w:fldChar w:fldCharType="separate"/>
          </w:r>
          <w:r w:rsidR="00BB763F" w:rsidRPr="00380FBD">
            <w:rPr>
              <w:b/>
              <w:noProof/>
            </w:rPr>
            <w:t>2.1 Trading ratios</w:t>
          </w:r>
          <w:r w:rsidR="00BB763F">
            <w:rPr>
              <w:noProof/>
            </w:rPr>
            <w:tab/>
          </w:r>
          <w:r>
            <w:rPr>
              <w:noProof/>
            </w:rPr>
            <w:fldChar w:fldCharType="begin"/>
          </w:r>
          <w:r w:rsidR="00BB763F">
            <w:rPr>
              <w:noProof/>
            </w:rPr>
            <w:instrText xml:space="preserve"> PAGEREF _Toc230884239 \h </w:instrText>
          </w:r>
          <w:r>
            <w:rPr>
              <w:noProof/>
            </w:rPr>
          </w:r>
          <w:r>
            <w:rPr>
              <w:noProof/>
            </w:rPr>
            <w:fldChar w:fldCharType="separate"/>
          </w:r>
          <w:r w:rsidR="00BB763F">
            <w:rPr>
              <w:noProof/>
            </w:rPr>
            <w:t>1</w:t>
          </w:r>
          <w:r>
            <w:rPr>
              <w:noProof/>
            </w:rPr>
            <w:fldChar w:fldCharType="end"/>
          </w:r>
        </w:p>
        <w:p w:rsidR="00BB763F" w:rsidRDefault="00BB763F">
          <w:pPr>
            <w:pStyle w:val="TOC2"/>
            <w:tabs>
              <w:tab w:val="right" w:leader="dot" w:pos="9926"/>
            </w:tabs>
            <w:rPr>
              <w:rFonts w:asciiTheme="minorHAnsi" w:eastAsiaTheme="minorEastAsia" w:hAnsiTheme="minorHAnsi" w:cstheme="minorBidi"/>
              <w:noProof/>
              <w:sz w:val="24"/>
              <w:szCs w:val="24"/>
            </w:rPr>
          </w:pPr>
          <w:r w:rsidRPr="00380FBD">
            <w:rPr>
              <w:b/>
              <w:noProof/>
            </w:rPr>
            <w:t>2.2 Reserve Pool</w:t>
          </w:r>
          <w:r>
            <w:rPr>
              <w:noProof/>
            </w:rPr>
            <w:tab/>
          </w:r>
          <w:r w:rsidR="004200D1">
            <w:rPr>
              <w:noProof/>
            </w:rPr>
            <w:fldChar w:fldCharType="begin"/>
          </w:r>
          <w:r>
            <w:rPr>
              <w:noProof/>
            </w:rPr>
            <w:instrText xml:space="preserve"> PAGEREF _Toc230884240 \h </w:instrText>
          </w:r>
          <w:r w:rsidR="004200D1">
            <w:rPr>
              <w:noProof/>
            </w:rPr>
          </w:r>
          <w:r w:rsidR="004200D1">
            <w:rPr>
              <w:noProof/>
            </w:rPr>
            <w:fldChar w:fldCharType="separate"/>
          </w:r>
          <w:r>
            <w:rPr>
              <w:noProof/>
            </w:rPr>
            <w:t>4</w:t>
          </w:r>
          <w:r w:rsidR="004200D1">
            <w:rPr>
              <w:noProof/>
            </w:rPr>
            <w:fldChar w:fldCharType="end"/>
          </w:r>
        </w:p>
        <w:p w:rsidR="00BB763F" w:rsidRDefault="00BB763F">
          <w:pPr>
            <w:pStyle w:val="TOC2"/>
            <w:tabs>
              <w:tab w:val="right" w:leader="dot" w:pos="9926"/>
            </w:tabs>
            <w:rPr>
              <w:rFonts w:asciiTheme="minorHAnsi" w:eastAsiaTheme="minorEastAsia" w:hAnsiTheme="minorHAnsi" w:cstheme="minorBidi"/>
              <w:noProof/>
              <w:sz w:val="24"/>
              <w:szCs w:val="24"/>
            </w:rPr>
          </w:pPr>
          <w:r w:rsidRPr="00380FBD">
            <w:rPr>
              <w:b/>
              <w:noProof/>
            </w:rPr>
            <w:t>2.3 Regulatory baseline and 2.4. Additionality</w:t>
          </w:r>
          <w:r>
            <w:rPr>
              <w:noProof/>
            </w:rPr>
            <w:tab/>
          </w:r>
          <w:r w:rsidR="004200D1">
            <w:rPr>
              <w:noProof/>
            </w:rPr>
            <w:fldChar w:fldCharType="begin"/>
          </w:r>
          <w:r>
            <w:rPr>
              <w:noProof/>
            </w:rPr>
            <w:instrText xml:space="preserve"> PAGEREF _Toc230884241 \h </w:instrText>
          </w:r>
          <w:r w:rsidR="004200D1">
            <w:rPr>
              <w:noProof/>
            </w:rPr>
          </w:r>
          <w:r w:rsidR="004200D1">
            <w:rPr>
              <w:noProof/>
            </w:rPr>
            <w:fldChar w:fldCharType="separate"/>
          </w:r>
          <w:r>
            <w:rPr>
              <w:noProof/>
            </w:rPr>
            <w:t>5</w:t>
          </w:r>
          <w:r w:rsidR="004200D1">
            <w:rPr>
              <w:noProof/>
            </w:rPr>
            <w:fldChar w:fldCharType="end"/>
          </w:r>
        </w:p>
        <w:p w:rsidR="00BB763F" w:rsidRDefault="00BB763F">
          <w:pPr>
            <w:pStyle w:val="TOC3"/>
            <w:tabs>
              <w:tab w:val="right" w:leader="dot" w:pos="9926"/>
            </w:tabs>
            <w:rPr>
              <w:rFonts w:asciiTheme="minorHAnsi" w:eastAsiaTheme="minorEastAsia" w:hAnsiTheme="minorHAnsi" w:cstheme="minorBidi"/>
              <w:noProof/>
              <w:sz w:val="24"/>
              <w:szCs w:val="24"/>
            </w:rPr>
          </w:pPr>
          <w:r>
            <w:rPr>
              <w:noProof/>
            </w:rPr>
            <w:t>2.3.1. Human Use Allowance (HUA), and TMDL LAs</w:t>
          </w:r>
          <w:r>
            <w:rPr>
              <w:noProof/>
            </w:rPr>
            <w:tab/>
          </w:r>
          <w:r w:rsidR="004200D1">
            <w:rPr>
              <w:noProof/>
            </w:rPr>
            <w:fldChar w:fldCharType="begin"/>
          </w:r>
          <w:r>
            <w:rPr>
              <w:noProof/>
            </w:rPr>
            <w:instrText xml:space="preserve"> PAGEREF _Toc230884242 \h </w:instrText>
          </w:r>
          <w:r w:rsidR="004200D1">
            <w:rPr>
              <w:noProof/>
            </w:rPr>
          </w:r>
          <w:r w:rsidR="004200D1">
            <w:rPr>
              <w:noProof/>
            </w:rPr>
            <w:fldChar w:fldCharType="separate"/>
          </w:r>
          <w:r>
            <w:rPr>
              <w:noProof/>
            </w:rPr>
            <w:t>5</w:t>
          </w:r>
          <w:r w:rsidR="004200D1">
            <w:rPr>
              <w:noProof/>
            </w:rPr>
            <w:fldChar w:fldCharType="end"/>
          </w:r>
        </w:p>
        <w:p w:rsidR="00BB763F" w:rsidRDefault="00BB763F">
          <w:pPr>
            <w:pStyle w:val="TOC3"/>
            <w:tabs>
              <w:tab w:val="right" w:leader="dot" w:pos="9926"/>
            </w:tabs>
            <w:rPr>
              <w:rFonts w:asciiTheme="minorHAnsi" w:eastAsiaTheme="minorEastAsia" w:hAnsiTheme="minorHAnsi" w:cstheme="minorBidi"/>
              <w:noProof/>
              <w:sz w:val="24"/>
              <w:szCs w:val="24"/>
            </w:rPr>
          </w:pPr>
          <w:r>
            <w:rPr>
              <w:noProof/>
            </w:rPr>
            <w:t>2.3.2. Deriving, expressing, and applying regulatory baseline</w:t>
          </w:r>
          <w:r>
            <w:rPr>
              <w:noProof/>
            </w:rPr>
            <w:tab/>
          </w:r>
          <w:r w:rsidR="004200D1">
            <w:rPr>
              <w:noProof/>
            </w:rPr>
            <w:fldChar w:fldCharType="begin"/>
          </w:r>
          <w:r>
            <w:rPr>
              <w:noProof/>
            </w:rPr>
            <w:instrText xml:space="preserve"> PAGEREF _Toc230884243 \h </w:instrText>
          </w:r>
          <w:r w:rsidR="004200D1">
            <w:rPr>
              <w:noProof/>
            </w:rPr>
          </w:r>
          <w:r w:rsidR="004200D1">
            <w:rPr>
              <w:noProof/>
            </w:rPr>
            <w:fldChar w:fldCharType="separate"/>
          </w:r>
          <w:r>
            <w:rPr>
              <w:noProof/>
            </w:rPr>
            <w:t>8</w:t>
          </w:r>
          <w:r w:rsidR="004200D1">
            <w:rPr>
              <w:noProof/>
            </w:rPr>
            <w:fldChar w:fldCharType="end"/>
          </w:r>
        </w:p>
        <w:p w:rsidR="00BB763F" w:rsidRDefault="00BB763F">
          <w:pPr>
            <w:pStyle w:val="TOC3"/>
            <w:tabs>
              <w:tab w:val="right" w:leader="dot" w:pos="9926"/>
            </w:tabs>
            <w:rPr>
              <w:rFonts w:asciiTheme="minorHAnsi" w:eastAsiaTheme="minorEastAsia" w:hAnsiTheme="minorHAnsi" w:cstheme="minorBidi"/>
              <w:noProof/>
              <w:sz w:val="24"/>
              <w:szCs w:val="24"/>
            </w:rPr>
          </w:pPr>
          <w:r>
            <w:rPr>
              <w:noProof/>
            </w:rPr>
            <w:t>2.3.3. Business as usual (at the project site)</w:t>
          </w:r>
          <w:r>
            <w:rPr>
              <w:noProof/>
            </w:rPr>
            <w:tab/>
          </w:r>
          <w:r w:rsidR="004200D1">
            <w:rPr>
              <w:noProof/>
            </w:rPr>
            <w:fldChar w:fldCharType="begin"/>
          </w:r>
          <w:r>
            <w:rPr>
              <w:noProof/>
            </w:rPr>
            <w:instrText xml:space="preserve"> PAGEREF _Toc230884244 \h </w:instrText>
          </w:r>
          <w:r w:rsidR="004200D1">
            <w:rPr>
              <w:noProof/>
            </w:rPr>
          </w:r>
          <w:r w:rsidR="004200D1">
            <w:rPr>
              <w:noProof/>
            </w:rPr>
            <w:fldChar w:fldCharType="separate"/>
          </w:r>
          <w:r>
            <w:rPr>
              <w:noProof/>
            </w:rPr>
            <w:t>13</w:t>
          </w:r>
          <w:r w:rsidR="004200D1">
            <w:rPr>
              <w:noProof/>
            </w:rPr>
            <w:fldChar w:fldCharType="end"/>
          </w:r>
        </w:p>
        <w:p w:rsidR="00BB763F" w:rsidRDefault="00BB763F">
          <w:pPr>
            <w:pStyle w:val="TOC3"/>
            <w:tabs>
              <w:tab w:val="right" w:leader="dot" w:pos="9926"/>
            </w:tabs>
            <w:rPr>
              <w:rFonts w:asciiTheme="minorHAnsi" w:eastAsiaTheme="minorEastAsia" w:hAnsiTheme="minorHAnsi" w:cstheme="minorBidi"/>
              <w:noProof/>
              <w:sz w:val="24"/>
              <w:szCs w:val="24"/>
            </w:rPr>
          </w:pPr>
          <w:r>
            <w:rPr>
              <w:noProof/>
            </w:rPr>
            <w:t>2.3.4. Reasonable assurances</w:t>
          </w:r>
          <w:r>
            <w:rPr>
              <w:noProof/>
            </w:rPr>
            <w:tab/>
          </w:r>
          <w:r w:rsidR="004200D1">
            <w:rPr>
              <w:noProof/>
            </w:rPr>
            <w:fldChar w:fldCharType="begin"/>
          </w:r>
          <w:r>
            <w:rPr>
              <w:noProof/>
            </w:rPr>
            <w:instrText xml:space="preserve"> PAGEREF _Toc230884245 \h </w:instrText>
          </w:r>
          <w:r w:rsidR="004200D1">
            <w:rPr>
              <w:noProof/>
            </w:rPr>
          </w:r>
          <w:r w:rsidR="004200D1">
            <w:rPr>
              <w:noProof/>
            </w:rPr>
            <w:fldChar w:fldCharType="separate"/>
          </w:r>
          <w:r>
            <w:rPr>
              <w:noProof/>
            </w:rPr>
            <w:t>14</w:t>
          </w:r>
          <w:r w:rsidR="004200D1">
            <w:rPr>
              <w:noProof/>
            </w:rPr>
            <w:fldChar w:fldCharType="end"/>
          </w:r>
        </w:p>
        <w:p w:rsidR="00996C39" w:rsidRDefault="004200D1">
          <w:r>
            <w:rPr>
              <w:b/>
              <w:bCs/>
              <w:noProof/>
            </w:rPr>
            <w:fldChar w:fldCharType="end"/>
          </w:r>
        </w:p>
      </w:sdtContent>
    </w:sdt>
    <w:p w:rsidR="00293864" w:rsidRPr="003E33D3" w:rsidRDefault="005771F7" w:rsidP="00730FEB">
      <w:pPr>
        <w:pStyle w:val="Heading2"/>
        <w:spacing w:before="240"/>
        <w:rPr>
          <w:b/>
        </w:rPr>
      </w:pPr>
      <w:bookmarkStart w:id="0" w:name="_Toc230884239"/>
      <w:r>
        <w:rPr>
          <w:b/>
        </w:rPr>
        <w:t>2</w:t>
      </w:r>
      <w:r w:rsidR="00293864" w:rsidRPr="003E33D3">
        <w:rPr>
          <w:b/>
        </w:rPr>
        <w:t xml:space="preserve">.1 </w:t>
      </w:r>
      <w:r>
        <w:rPr>
          <w:b/>
        </w:rPr>
        <w:t xml:space="preserve">Trading </w:t>
      </w:r>
      <w:r w:rsidR="00DF2832">
        <w:rPr>
          <w:b/>
        </w:rPr>
        <w:t>r</w:t>
      </w:r>
      <w:r>
        <w:rPr>
          <w:b/>
        </w:rPr>
        <w:t>atios</w:t>
      </w:r>
      <w:bookmarkEnd w:id="0"/>
      <w:r w:rsidR="00293864" w:rsidRPr="003E33D3">
        <w:rPr>
          <w:b/>
        </w:rPr>
        <w:t xml:space="preserve"> </w:t>
      </w:r>
    </w:p>
    <w:p w:rsidR="005771F7" w:rsidRPr="00500E4F" w:rsidRDefault="005771F7" w:rsidP="00293864">
      <w:pPr>
        <w:pStyle w:val="Default"/>
        <w:spacing w:before="120" w:after="120"/>
        <w:rPr>
          <w:rFonts w:asciiTheme="minorHAnsi" w:hAnsiTheme="minorHAnsi" w:cs="Arial"/>
          <w:bCs/>
        </w:rPr>
      </w:pPr>
      <w:r>
        <w:rPr>
          <w:rFonts w:asciiTheme="minorHAnsi" w:hAnsiTheme="minorHAnsi" w:cs="Arial"/>
          <w:bCs/>
        </w:rPr>
        <w:t xml:space="preserve">Trading ratios are discount factors, generally applied to the total potential pollution reduction from a nonpoint source project to account for various factors. Trading ratios can help account for watershed processes, risk, and uncertainty. These factors often include uncertainty—both in terms of measurement </w:t>
      </w:r>
      <w:r w:rsidRPr="00500E4F">
        <w:rPr>
          <w:rFonts w:asciiTheme="minorHAnsi" w:hAnsiTheme="minorHAnsi" w:cs="Arial"/>
          <w:bCs/>
        </w:rPr>
        <w:t xml:space="preserve">error and project </w:t>
      </w:r>
      <w:r w:rsidR="00DF2832">
        <w:rPr>
          <w:rFonts w:asciiTheme="minorHAnsi" w:hAnsiTheme="minorHAnsi" w:cs="Arial"/>
          <w:bCs/>
        </w:rPr>
        <w:t>performance</w:t>
      </w:r>
      <w:r w:rsidRPr="00500E4F">
        <w:rPr>
          <w:rFonts w:asciiTheme="minorHAnsi" w:hAnsiTheme="minorHAnsi" w:cs="Arial"/>
          <w:bCs/>
        </w:rPr>
        <w:t xml:space="preserve">, attenuation of pollution from the nonpoint source to some downstream point of compliance (esp. for nutrients), ensuring environmental benefit, or ensuring </w:t>
      </w:r>
      <w:r w:rsidR="00996C39" w:rsidRPr="00500E4F">
        <w:rPr>
          <w:rFonts w:asciiTheme="minorHAnsi" w:hAnsiTheme="minorHAnsi" w:cs="Arial"/>
          <w:bCs/>
        </w:rPr>
        <w:t>equivalency</w:t>
      </w:r>
      <w:r w:rsidRPr="00500E4F">
        <w:rPr>
          <w:rFonts w:asciiTheme="minorHAnsi" w:hAnsiTheme="minorHAnsi" w:cs="Arial"/>
          <w:bCs/>
        </w:rPr>
        <w:t xml:space="preserve"> across types of </w:t>
      </w:r>
      <w:r w:rsidR="00996C39" w:rsidRPr="00500E4F">
        <w:rPr>
          <w:rFonts w:asciiTheme="minorHAnsi" w:hAnsiTheme="minorHAnsi" w:cs="Arial"/>
          <w:bCs/>
        </w:rPr>
        <w:t>pollutants</w:t>
      </w:r>
      <w:r w:rsidRPr="00500E4F">
        <w:rPr>
          <w:rFonts w:asciiTheme="minorHAnsi" w:hAnsiTheme="minorHAnsi" w:cs="Arial"/>
          <w:bCs/>
        </w:rPr>
        <w:t>. This portion of the options memo draws heavily from U.S. EPA’s Permit Writer’s Toolkit</w:t>
      </w:r>
      <w:r w:rsidR="00500E4F" w:rsidRPr="00500E4F">
        <w:rPr>
          <w:rFonts w:asciiTheme="minorHAnsi" w:hAnsiTheme="minorHAnsi" w:cs="Arial"/>
          <w:bCs/>
        </w:rPr>
        <w:t xml:space="preserve"> (pp</w:t>
      </w:r>
      <w:r w:rsidR="00DD3527">
        <w:rPr>
          <w:rFonts w:asciiTheme="minorHAnsi" w:hAnsiTheme="minorHAnsi" w:cs="Arial"/>
          <w:bCs/>
        </w:rPr>
        <w:t xml:space="preserve">. </w:t>
      </w:r>
      <w:r w:rsidR="00500E4F" w:rsidRPr="00500E4F">
        <w:rPr>
          <w:rFonts w:asciiTheme="minorHAnsi" w:hAnsiTheme="minorHAnsi" w:cs="Arial"/>
          <w:bCs/>
        </w:rPr>
        <w:t>30-33</w:t>
      </w:r>
      <w:r w:rsidR="00010DA6">
        <w:rPr>
          <w:rFonts w:asciiTheme="minorHAnsi" w:hAnsiTheme="minorHAnsi" w:cs="Arial"/>
          <w:bCs/>
        </w:rPr>
        <w:t>) and includes</w:t>
      </w:r>
      <w:r w:rsidR="00500E4F">
        <w:rPr>
          <w:rFonts w:asciiTheme="minorHAnsi" w:hAnsiTheme="minorHAnsi" w:cs="Arial"/>
          <w:bCs/>
        </w:rPr>
        <w:t xml:space="preserve"> </w:t>
      </w:r>
      <w:r w:rsidR="00F20008">
        <w:rPr>
          <w:rFonts w:asciiTheme="minorHAnsi" w:hAnsiTheme="minorHAnsi" w:cs="Arial"/>
          <w:bCs/>
        </w:rPr>
        <w:t>excerpts</w:t>
      </w:r>
      <w:r w:rsidR="00500E4F">
        <w:rPr>
          <w:rFonts w:asciiTheme="minorHAnsi" w:hAnsiTheme="minorHAnsi" w:cs="Arial"/>
          <w:bCs/>
        </w:rPr>
        <w:t xml:space="preserve"> from</w:t>
      </w:r>
      <w:r w:rsidR="006856C0">
        <w:rPr>
          <w:rFonts w:asciiTheme="minorHAnsi" w:hAnsiTheme="minorHAnsi" w:cs="Arial"/>
          <w:bCs/>
        </w:rPr>
        <w:t xml:space="preserve"> Willamette Partnership’s</w:t>
      </w:r>
      <w:r w:rsidR="00500E4F">
        <w:rPr>
          <w:rFonts w:asciiTheme="minorHAnsi" w:hAnsiTheme="minorHAnsi" w:cs="Arial"/>
          <w:bCs/>
        </w:rPr>
        <w:t xml:space="preserve"> </w:t>
      </w:r>
      <w:r w:rsidR="00500E4F" w:rsidRPr="00500E4F">
        <w:rPr>
          <w:rFonts w:asciiTheme="minorHAnsi" w:hAnsiTheme="minorHAnsi" w:cs="Arial"/>
          <w:bCs/>
          <w:i/>
        </w:rPr>
        <w:t>In It Together</w:t>
      </w:r>
      <w:r w:rsidR="00500E4F" w:rsidRPr="00500E4F">
        <w:rPr>
          <w:rFonts w:asciiTheme="minorHAnsi" w:hAnsiTheme="minorHAnsi" w:cs="Arial"/>
          <w:bCs/>
        </w:rPr>
        <w:t xml:space="preserve"> (Vol 2, pp</w:t>
      </w:r>
      <w:r w:rsidR="006856C0">
        <w:rPr>
          <w:rFonts w:asciiTheme="minorHAnsi" w:hAnsiTheme="minorHAnsi" w:cs="Arial"/>
          <w:bCs/>
        </w:rPr>
        <w:t xml:space="preserve">. </w:t>
      </w:r>
      <w:r w:rsidR="00500E4F" w:rsidRPr="00500E4F">
        <w:rPr>
          <w:rFonts w:asciiTheme="minorHAnsi" w:hAnsiTheme="minorHAnsi" w:cs="Arial"/>
          <w:bCs/>
        </w:rPr>
        <w:t>35)</w:t>
      </w:r>
      <w:r w:rsidR="00500E4F">
        <w:rPr>
          <w:rFonts w:asciiTheme="minorHAnsi" w:hAnsiTheme="minorHAnsi" w:cs="Arial"/>
          <w:bCs/>
        </w:rPr>
        <w:t>:</w:t>
      </w:r>
    </w:p>
    <w:p w:rsidR="00500E4F" w:rsidRPr="0068477C" w:rsidRDefault="00500E4F" w:rsidP="00500E4F">
      <w:pPr>
        <w:pStyle w:val="MainBodyText"/>
        <w:widowControl w:val="0"/>
        <w:ind w:left="360" w:hanging="360"/>
        <w:rPr>
          <w:rFonts w:asciiTheme="minorHAnsi" w:hAnsiTheme="minorHAnsi"/>
          <w:lang w:eastAsia="zh-TW"/>
        </w:rPr>
      </w:pPr>
      <w:r w:rsidRPr="0068477C">
        <w:rPr>
          <w:rFonts w:asciiTheme="minorHAnsi" w:hAnsiTheme="minorHAnsi"/>
          <w:i/>
          <w:iCs/>
          <w:u w:val="single"/>
          <w:lang w:eastAsia="zh-TW"/>
        </w:rPr>
        <w:t>Delivery or location ratios</w:t>
      </w:r>
      <w:r w:rsidRPr="0068477C">
        <w:rPr>
          <w:rFonts w:asciiTheme="minorHAnsi" w:hAnsiTheme="minorHAnsi"/>
          <w:lang w:eastAsia="zh-TW"/>
        </w:rPr>
        <w:t xml:space="preserve">: Account for the change in pollutant quantity and form as it moves from a point upstream to a further point downstream. Delivery ratios can also account for movement of pollutants from the edge of a field into the stream. Delivery ratios are sometimes included in models (e.g. the Chesapeake Bay Watershed Model), and are reflected in credit calculations themselves (e.g. Nutrient Net as applied in the Chesapeake). Delivery ratios usually incentivize action closer to the point of discharge. This may not always be appropriate. For example, Idaho’s Lower Boise River program wanted to incentivize nutrient </w:t>
      </w:r>
      <w:r w:rsidRPr="0068477C">
        <w:rPr>
          <w:rFonts w:asciiTheme="minorHAnsi" w:hAnsiTheme="minorHAnsi"/>
          <w:lang w:eastAsia="zh-TW"/>
        </w:rPr>
        <w:lastRenderedPageBreak/>
        <w:t>reductions near the mouth of the river where they were needed most, while delivery ratios in the Lower Boise gave more credit for reductions further away from buyers.</w:t>
      </w:r>
    </w:p>
    <w:p w:rsidR="00500E4F" w:rsidRPr="0068477C" w:rsidRDefault="00500E4F" w:rsidP="00500E4F">
      <w:pPr>
        <w:pStyle w:val="MainBodyText"/>
        <w:widowControl w:val="0"/>
        <w:ind w:left="360" w:hanging="360"/>
        <w:rPr>
          <w:rFonts w:asciiTheme="minorHAnsi" w:hAnsiTheme="minorHAnsi"/>
          <w:lang w:eastAsia="zh-TW"/>
        </w:rPr>
      </w:pPr>
      <w:r w:rsidRPr="0068477C">
        <w:rPr>
          <w:rFonts w:asciiTheme="minorHAnsi" w:hAnsiTheme="minorHAnsi"/>
          <w:i/>
          <w:iCs/>
          <w:u w:val="single"/>
          <w:lang w:eastAsia="zh-TW"/>
        </w:rPr>
        <w:t>Equivalency ratios</w:t>
      </w:r>
      <w:r w:rsidRPr="0068477C">
        <w:rPr>
          <w:rFonts w:asciiTheme="minorHAnsi" w:hAnsiTheme="minorHAnsi"/>
          <w:lang w:eastAsia="zh-TW"/>
        </w:rPr>
        <w:t>: These ratios adjust for trading in different forms of the same pollutant. For example, a point source may discharge nutrients in a form that is biologically available—algae can use it quickly to bloom, but nonpoint sources may reduce less biologically available forms of nutrients. Equivalency ratios can also account for cross-pollutant trades. For example, reducing a pound of phosphorus on farms might equal ten pounds of nitrogen discharged from a wastewater facility.</w:t>
      </w:r>
    </w:p>
    <w:p w:rsidR="00500E4F" w:rsidRPr="0068477C" w:rsidRDefault="00500E4F" w:rsidP="00500E4F">
      <w:pPr>
        <w:pStyle w:val="MainBodyText"/>
        <w:widowControl w:val="0"/>
        <w:ind w:left="360" w:hanging="360"/>
        <w:rPr>
          <w:rFonts w:asciiTheme="minorHAnsi" w:hAnsiTheme="minorHAnsi"/>
          <w:lang w:eastAsia="zh-TW"/>
        </w:rPr>
      </w:pPr>
      <w:r w:rsidRPr="0068477C">
        <w:rPr>
          <w:rFonts w:asciiTheme="minorHAnsi" w:hAnsiTheme="minorHAnsi"/>
          <w:i/>
          <w:iCs/>
          <w:u w:val="single"/>
          <w:lang w:eastAsia="zh-TW"/>
        </w:rPr>
        <w:t>Uncertainty or Reserve ratios</w:t>
      </w:r>
      <w:r w:rsidRPr="0068477C">
        <w:rPr>
          <w:rFonts w:asciiTheme="minorHAnsi" w:hAnsiTheme="minorHAnsi"/>
          <w:lang w:eastAsia="zh-TW"/>
        </w:rPr>
        <w:t>: There are a lot of unknowns in trading. Uncertainty ratios can help account for measurement uncertainty and implementation uncertainty as better science becomes available. Measurement uncertainty accounts for errors in credit calculation methods. Implementation uncertainty accounts for potential pro</w:t>
      </w:r>
      <w:bookmarkStart w:id="1" w:name="_GoBack"/>
      <w:bookmarkEnd w:id="1"/>
      <w:r w:rsidRPr="0068477C">
        <w:rPr>
          <w:rFonts w:asciiTheme="minorHAnsi" w:hAnsiTheme="minorHAnsi"/>
          <w:lang w:eastAsia="zh-TW"/>
        </w:rPr>
        <w:t xml:space="preserve">ject failure, both from </w:t>
      </w:r>
      <w:r w:rsidR="00010DA6">
        <w:rPr>
          <w:rFonts w:asciiTheme="minorHAnsi" w:hAnsiTheme="minorHAnsi"/>
          <w:lang w:eastAsia="zh-TW"/>
        </w:rPr>
        <w:t>best management practices (</w:t>
      </w:r>
      <w:r w:rsidRPr="0068477C">
        <w:rPr>
          <w:rFonts w:asciiTheme="minorHAnsi" w:hAnsiTheme="minorHAnsi"/>
          <w:lang w:eastAsia="zh-TW"/>
        </w:rPr>
        <w:t>BMPs</w:t>
      </w:r>
      <w:r w:rsidR="00010DA6">
        <w:rPr>
          <w:rFonts w:asciiTheme="minorHAnsi" w:hAnsiTheme="minorHAnsi"/>
          <w:lang w:eastAsia="zh-TW"/>
        </w:rPr>
        <w:t>)</w:t>
      </w:r>
      <w:r w:rsidRPr="0068477C">
        <w:rPr>
          <w:rFonts w:asciiTheme="minorHAnsi" w:hAnsiTheme="minorHAnsi"/>
          <w:lang w:eastAsia="zh-TW"/>
        </w:rPr>
        <w:t xml:space="preserve"> not performing as anticipated and from unanticipated events such as a flood knocking out filter strips. A portion of credits can be held in “reserve” to account for these failures. The Ohio River program requires that all projects reserve 10% of all credits sold to account for uncertainty and project failures. Sometimes, different BMPs may have different uncertainty ratios.</w:t>
      </w:r>
    </w:p>
    <w:p w:rsidR="00500E4F" w:rsidRPr="0068477C" w:rsidRDefault="00500E4F" w:rsidP="00500E4F">
      <w:pPr>
        <w:pStyle w:val="MainBodyText"/>
        <w:widowControl w:val="0"/>
        <w:ind w:left="360" w:hanging="360"/>
        <w:rPr>
          <w:rFonts w:asciiTheme="minorHAnsi" w:hAnsiTheme="minorHAnsi"/>
          <w:lang w:eastAsia="zh-TW"/>
        </w:rPr>
      </w:pPr>
      <w:r w:rsidRPr="0068477C">
        <w:rPr>
          <w:rFonts w:asciiTheme="minorHAnsi" w:hAnsiTheme="minorHAnsi"/>
          <w:i/>
          <w:iCs/>
          <w:u w:val="single"/>
          <w:lang w:eastAsia="zh-TW"/>
        </w:rPr>
        <w:t>Retirement ratios</w:t>
      </w:r>
      <w:r w:rsidRPr="0068477C">
        <w:rPr>
          <w:rFonts w:asciiTheme="minorHAnsi" w:hAnsiTheme="minorHAnsi"/>
          <w:lang w:eastAsia="zh-TW"/>
        </w:rPr>
        <w:t>: Retirement ratios can help trading create a net water quality benefit. For example, they can ensure that for every pound of sediment discharged into a stream, at least 2-4 pounds of sediment are removed. Retirement ratios can also be used to incentivize projects that deliver environmental benefits beyond water quality (e.g. a lower ratio for BMPs that provide habitat benefits in addition to nitrogen reductions).</w:t>
      </w:r>
    </w:p>
    <w:p w:rsidR="00500E4F" w:rsidRPr="00500E4F" w:rsidRDefault="00500E4F" w:rsidP="00500E4F">
      <w:pPr>
        <w:pStyle w:val="MainBodyText"/>
        <w:widowControl w:val="0"/>
        <w:rPr>
          <w:rFonts w:asciiTheme="minorHAnsi" w:hAnsiTheme="minorHAnsi"/>
          <w:sz w:val="24"/>
          <w:szCs w:val="24"/>
          <w:lang w:eastAsia="zh-TW"/>
        </w:rPr>
      </w:pPr>
      <w:r w:rsidRPr="00500E4F">
        <w:rPr>
          <w:rFonts w:asciiTheme="minorHAnsi" w:hAnsiTheme="minorHAnsi"/>
          <w:sz w:val="24"/>
          <w:szCs w:val="24"/>
          <w:lang w:eastAsia="zh-TW"/>
        </w:rPr>
        <w:t>The different factors above can be merged together in a single ratio or kept separate. Keeping ratios separate may allow programs to better optimize project location and design to reduce risk, and more easily fold in new information on actual risk. As a final caution, trading ratios can be a significant factor in credit cost and should be developed carefully.</w:t>
      </w:r>
    </w:p>
    <w:p w:rsidR="00500E4F" w:rsidRPr="00500E4F" w:rsidRDefault="00500E4F" w:rsidP="00500E4F">
      <w:pPr>
        <w:pStyle w:val="TextBoxBodyText"/>
        <w:widowControl w:val="0"/>
        <w:rPr>
          <w:sz w:val="24"/>
          <w:szCs w:val="24"/>
          <w:lang w:eastAsia="zh-TW"/>
        </w:rPr>
      </w:pPr>
      <w:r w:rsidRPr="00500E4F">
        <w:rPr>
          <w:sz w:val="24"/>
          <w:szCs w:val="24"/>
          <w:lang w:eastAsia="zh-TW"/>
        </w:rPr>
        <w:t xml:space="preserve">Ratios </w:t>
      </w:r>
      <w:r>
        <w:rPr>
          <w:sz w:val="24"/>
          <w:szCs w:val="24"/>
          <w:lang w:eastAsia="zh-TW"/>
        </w:rPr>
        <w:t>should be</w:t>
      </w:r>
      <w:r w:rsidRPr="00500E4F">
        <w:rPr>
          <w:sz w:val="24"/>
          <w:szCs w:val="24"/>
          <w:lang w:eastAsia="zh-TW"/>
        </w:rPr>
        <w:t xml:space="preserve"> based in science. If watershed goals, economic feasibility, and appropriate levels of risk need to be considered, they are included in trading ratio decisions carefully and thoughtfully. Setting ratios too high reduces potential cost savings for point sources, but setting them too low places undue risk on the environment.</w:t>
      </w:r>
    </w:p>
    <w:p w:rsidR="00293864" w:rsidRDefault="00293864" w:rsidP="00293864">
      <w:pPr>
        <w:pStyle w:val="Default"/>
        <w:spacing w:before="240" w:after="120"/>
        <w:rPr>
          <w:rFonts w:asciiTheme="minorHAnsi" w:hAnsiTheme="minorHAnsi" w:cs="Arial"/>
          <w:b/>
          <w:bCs/>
        </w:rPr>
      </w:pPr>
      <w:r w:rsidRPr="00E441D9">
        <w:rPr>
          <w:rFonts w:asciiTheme="minorHAnsi" w:hAnsiTheme="minorHAnsi" w:cs="Arial"/>
          <w:b/>
          <w:bCs/>
        </w:rPr>
        <w:t xml:space="preserve">I. </w:t>
      </w:r>
      <w:r>
        <w:rPr>
          <w:rFonts w:asciiTheme="minorHAnsi" w:hAnsiTheme="minorHAnsi" w:cs="Arial"/>
          <w:b/>
          <w:bCs/>
        </w:rPr>
        <w:t>Options and e</w:t>
      </w:r>
      <w:r w:rsidRPr="00E441D9">
        <w:rPr>
          <w:rFonts w:asciiTheme="minorHAnsi" w:hAnsiTheme="minorHAnsi" w:cs="Arial"/>
          <w:b/>
          <w:bCs/>
        </w:rPr>
        <w:t>xamples</w:t>
      </w:r>
    </w:p>
    <w:p w:rsidR="00293864" w:rsidRDefault="00500E4F" w:rsidP="00293864">
      <w:pPr>
        <w:pStyle w:val="Default"/>
        <w:spacing w:before="240" w:after="120"/>
        <w:rPr>
          <w:rFonts w:asciiTheme="minorHAnsi" w:hAnsiTheme="minorHAnsi" w:cs="Arial"/>
          <w:bCs/>
          <w:u w:val="single"/>
        </w:rPr>
      </w:pPr>
      <w:r>
        <w:rPr>
          <w:rFonts w:asciiTheme="minorHAnsi" w:hAnsiTheme="minorHAnsi" w:cs="Arial"/>
          <w:bCs/>
          <w:u w:val="single"/>
        </w:rPr>
        <w:t>What documentation does there need to be to justify trading ratios</w:t>
      </w:r>
      <w:r w:rsidR="00293864">
        <w:rPr>
          <w:rFonts w:asciiTheme="minorHAnsi" w:hAnsiTheme="minorHAnsi" w:cs="Arial"/>
          <w:bCs/>
          <w:u w:val="single"/>
        </w:rPr>
        <w:t>?</w:t>
      </w:r>
    </w:p>
    <w:p w:rsidR="00500E4F" w:rsidRDefault="00531BF5" w:rsidP="00500E4F">
      <w:pPr>
        <w:pStyle w:val="Default"/>
        <w:spacing w:before="120" w:after="120"/>
        <w:rPr>
          <w:rFonts w:asciiTheme="minorHAnsi" w:hAnsiTheme="minorHAnsi"/>
        </w:rPr>
      </w:pPr>
      <w:r>
        <w:rPr>
          <w:rFonts w:asciiTheme="minorHAnsi" w:hAnsiTheme="minorHAnsi"/>
        </w:rPr>
        <w:t>Mathematically, trading ratios have an enormous impact on the quantity of credits available for sale, yet for</w:t>
      </w:r>
      <w:r w:rsidR="00500E4F">
        <w:rPr>
          <w:rFonts w:asciiTheme="minorHAnsi" w:hAnsiTheme="minorHAnsi"/>
        </w:rPr>
        <w:t xml:space="preserve"> trading programs around the country, there is often little documentation about how t</w:t>
      </w:r>
      <w:r>
        <w:rPr>
          <w:rFonts w:asciiTheme="minorHAnsi" w:hAnsiTheme="minorHAnsi"/>
        </w:rPr>
        <w:t>hey</w:t>
      </w:r>
      <w:r w:rsidR="00500E4F">
        <w:rPr>
          <w:rFonts w:asciiTheme="minorHAnsi" w:hAnsiTheme="minorHAnsi"/>
        </w:rPr>
        <w:t xml:space="preserve"> are developed. How can trading programs better document the selection of a trading ratio, and where should that documentation lie? Should it be in the </w:t>
      </w:r>
      <w:r w:rsidR="00010DA6">
        <w:rPr>
          <w:rFonts w:asciiTheme="minorHAnsi" w:hAnsiTheme="minorHAnsi"/>
        </w:rPr>
        <w:t>total maximum daily load (</w:t>
      </w:r>
      <w:r w:rsidR="00500E4F">
        <w:rPr>
          <w:rFonts w:asciiTheme="minorHAnsi" w:hAnsiTheme="minorHAnsi"/>
        </w:rPr>
        <w:t>TMDL</w:t>
      </w:r>
      <w:r w:rsidR="00010DA6">
        <w:rPr>
          <w:rFonts w:asciiTheme="minorHAnsi" w:hAnsiTheme="minorHAnsi"/>
        </w:rPr>
        <w:t>)</w:t>
      </w:r>
      <w:r w:rsidR="00500E4F">
        <w:rPr>
          <w:rFonts w:asciiTheme="minorHAnsi" w:hAnsiTheme="minorHAnsi"/>
        </w:rPr>
        <w:t>, trading plan attached to a permit, statewide policy, or multiple places?</w:t>
      </w:r>
    </w:p>
    <w:p w:rsidR="00293864" w:rsidRDefault="00531BF5" w:rsidP="00500E4F">
      <w:pPr>
        <w:pStyle w:val="Default"/>
        <w:spacing w:before="120" w:after="120"/>
        <w:rPr>
          <w:rFonts w:asciiTheme="minorHAnsi" w:hAnsiTheme="minorHAnsi" w:cs="Arial"/>
          <w:bCs/>
          <w:u w:val="single"/>
        </w:rPr>
      </w:pPr>
      <w:r>
        <w:rPr>
          <w:rFonts w:asciiTheme="minorHAnsi" w:hAnsiTheme="minorHAnsi" w:cs="Arial"/>
          <w:bCs/>
          <w:u w:val="single"/>
        </w:rPr>
        <w:t>What is the right scale at which to set trading ratios</w:t>
      </w:r>
      <w:r w:rsidR="00293864">
        <w:rPr>
          <w:rFonts w:asciiTheme="minorHAnsi" w:hAnsiTheme="minorHAnsi" w:cs="Arial"/>
          <w:bCs/>
          <w:u w:val="single"/>
        </w:rPr>
        <w:t>?</w:t>
      </w:r>
    </w:p>
    <w:p w:rsidR="00293864" w:rsidRDefault="001D7378" w:rsidP="00293864">
      <w:pPr>
        <w:pStyle w:val="Default"/>
        <w:spacing w:before="120" w:after="120"/>
        <w:rPr>
          <w:rFonts w:asciiTheme="minorHAnsi" w:hAnsiTheme="minorHAnsi" w:cs="Arial"/>
          <w:bCs/>
        </w:rPr>
      </w:pPr>
      <w:r>
        <w:rPr>
          <w:rFonts w:asciiTheme="minorHAnsi" w:hAnsiTheme="minorHAnsi"/>
        </w:rPr>
        <w:t>Some programs set trading ratios programmatically (e.g. a 2:1 ratio or a 3:1 ratio)</w:t>
      </w:r>
      <w:r w:rsidR="0068477C">
        <w:rPr>
          <w:rFonts w:asciiTheme="minorHAnsi" w:hAnsiTheme="minorHAnsi"/>
        </w:rPr>
        <w:t xml:space="preserve"> or even at a statewide level</w:t>
      </w:r>
      <w:r w:rsidR="00293864" w:rsidRPr="00262A89">
        <w:rPr>
          <w:rFonts w:asciiTheme="minorHAnsi" w:hAnsiTheme="minorHAnsi" w:cs="Arial"/>
          <w:bCs/>
        </w:rPr>
        <w:t>.</w:t>
      </w:r>
      <w:r>
        <w:rPr>
          <w:rFonts w:asciiTheme="minorHAnsi" w:hAnsiTheme="minorHAnsi" w:cs="Arial"/>
          <w:bCs/>
        </w:rPr>
        <w:t xml:space="preserve"> Others, particularly those attenuating pollution, use </w:t>
      </w:r>
      <w:r w:rsidR="00531BF5">
        <w:rPr>
          <w:rFonts w:asciiTheme="minorHAnsi" w:hAnsiTheme="minorHAnsi" w:cs="Arial"/>
          <w:bCs/>
        </w:rPr>
        <w:t xml:space="preserve">a set of </w:t>
      </w:r>
      <w:r>
        <w:rPr>
          <w:rFonts w:asciiTheme="minorHAnsi" w:hAnsiTheme="minorHAnsi" w:cs="Arial"/>
          <w:bCs/>
        </w:rPr>
        <w:t xml:space="preserve">standard factors to </w:t>
      </w:r>
      <w:r>
        <w:rPr>
          <w:rFonts w:asciiTheme="minorHAnsi" w:hAnsiTheme="minorHAnsi" w:cs="Arial"/>
          <w:bCs/>
        </w:rPr>
        <w:t>determine a ratio for each transaction.</w:t>
      </w:r>
    </w:p>
    <w:p w:rsidR="00CC4737" w:rsidRDefault="00CC4737" w:rsidP="00293864">
      <w:pPr>
        <w:pStyle w:val="Default"/>
        <w:spacing w:before="120" w:after="120"/>
        <w:rPr>
          <w:rFonts w:asciiTheme="minorHAnsi" w:hAnsiTheme="minorHAnsi" w:cs="Arial"/>
          <w:bCs/>
          <w:u w:val="single"/>
        </w:rPr>
      </w:pPr>
    </w:p>
    <w:tbl>
      <w:tblPr>
        <w:tblStyle w:val="TableGrid"/>
        <w:tblW w:w="0" w:type="auto"/>
        <w:tblLook w:val="04A0" w:firstRow="1" w:lastRow="0" w:firstColumn="1" w:lastColumn="0" w:noHBand="0" w:noVBand="1"/>
      </w:tblPr>
      <w:tblGrid>
        <w:gridCol w:w="5076"/>
        <w:gridCol w:w="5076"/>
      </w:tblGrid>
      <w:tr w:rsidR="00531BF5">
        <w:trPr>
          <w:trHeight w:val="620"/>
        </w:trPr>
        <w:tc>
          <w:tcPr>
            <w:tcW w:w="5076" w:type="dxa"/>
            <w:vMerge w:val="restart"/>
          </w:tcPr>
          <w:p w:rsidR="00531BF5" w:rsidRPr="00E441D9" w:rsidRDefault="00531BF5" w:rsidP="00520DD2">
            <w:pPr>
              <w:rPr>
                <w:b/>
              </w:rPr>
            </w:pPr>
            <w:r w:rsidRPr="00E441D9">
              <w:rPr>
                <w:b/>
              </w:rPr>
              <w:lastRenderedPageBreak/>
              <w:t>Option A</w:t>
            </w:r>
          </w:p>
          <w:p w:rsidR="00531BF5" w:rsidRDefault="00531BF5" w:rsidP="00520DD2">
            <w:pPr>
              <w:rPr>
                <w:rFonts w:asciiTheme="minorHAnsi" w:hAnsiTheme="minorHAnsi"/>
                <w:i/>
              </w:rPr>
            </w:pPr>
            <w:r>
              <w:rPr>
                <w:rFonts w:asciiTheme="minorHAnsi" w:hAnsiTheme="minorHAnsi"/>
                <w:i/>
              </w:rPr>
              <w:t>Use standard factors to determine a ratio for each transaction</w:t>
            </w:r>
            <w:r w:rsidR="00010DA6">
              <w:rPr>
                <w:rFonts w:asciiTheme="minorHAnsi" w:hAnsiTheme="minorHAnsi"/>
                <w:i/>
              </w:rPr>
              <w:t>.</w:t>
            </w:r>
          </w:p>
          <w:p w:rsidR="00531BF5" w:rsidRDefault="00531BF5" w:rsidP="00520DD2">
            <w:pPr>
              <w:rPr>
                <w:rFonts w:asciiTheme="minorHAnsi" w:hAnsiTheme="minorHAnsi"/>
                <w:i/>
              </w:rPr>
            </w:pPr>
          </w:p>
          <w:p w:rsidR="00531BF5" w:rsidRDefault="0000233C" w:rsidP="00520DD2">
            <w:pPr>
              <w:rPr>
                <w:rFonts w:asciiTheme="minorHAnsi" w:hAnsiTheme="minorHAnsi"/>
                <w:b/>
              </w:rPr>
            </w:pPr>
            <w:r>
              <w:rPr>
                <w:rFonts w:asciiTheme="minorHAnsi" w:hAnsiTheme="minorHAnsi"/>
                <w:b/>
              </w:rPr>
              <w:t>Pros and Cons</w:t>
            </w:r>
          </w:p>
          <w:p w:rsidR="00DF2832" w:rsidRDefault="00531BF5" w:rsidP="00531BF5">
            <w:pPr>
              <w:rPr>
                <w:rFonts w:asciiTheme="minorHAnsi" w:hAnsiTheme="minorHAnsi"/>
              </w:rPr>
            </w:pPr>
            <w:r>
              <w:rPr>
                <w:rFonts w:asciiTheme="minorHAnsi" w:hAnsiTheme="minorHAnsi"/>
              </w:rPr>
              <w:t xml:space="preserve">The advantage of unique trading ratios </w:t>
            </w:r>
            <w:r w:rsidR="00DF2832">
              <w:rPr>
                <w:rFonts w:asciiTheme="minorHAnsi" w:hAnsiTheme="minorHAnsi"/>
              </w:rPr>
              <w:t xml:space="preserve">based on a standard approach </w:t>
            </w:r>
            <w:r>
              <w:rPr>
                <w:rFonts w:asciiTheme="minorHAnsi" w:hAnsiTheme="minorHAnsi"/>
              </w:rPr>
              <w:t>is the ability to address some of the unique risk and uncertainty factors for each trade</w:t>
            </w:r>
            <w:r w:rsidR="00DF2832">
              <w:rPr>
                <w:rFonts w:asciiTheme="minorHAnsi" w:hAnsiTheme="minorHAnsi"/>
              </w:rPr>
              <w:t xml:space="preserve"> without investing as much time and resources into every transaction</w:t>
            </w:r>
            <w:r>
              <w:rPr>
                <w:rFonts w:asciiTheme="minorHAnsi" w:hAnsiTheme="minorHAnsi"/>
              </w:rPr>
              <w:t>. The biggest disadvantage is that this approach also creates uncertainty for potential buyers and sellers of credits. Buyers may have a harder time predicting the amount and cost of potential supply. Credit supplier</w:t>
            </w:r>
            <w:r w:rsidR="00010DA6">
              <w:rPr>
                <w:rFonts w:asciiTheme="minorHAnsi" w:hAnsiTheme="minorHAnsi"/>
              </w:rPr>
              <w:t>s</w:t>
            </w:r>
            <w:r>
              <w:rPr>
                <w:rFonts w:asciiTheme="minorHAnsi" w:hAnsiTheme="minorHAnsi"/>
              </w:rPr>
              <w:t xml:space="preserve"> will have a hard time figuring out the amount of credits they have until they identify a likely buyer. </w:t>
            </w:r>
          </w:p>
          <w:p w:rsidR="00DF2832" w:rsidRDefault="00DF2832" w:rsidP="00531BF5">
            <w:pPr>
              <w:rPr>
                <w:rFonts w:asciiTheme="minorHAnsi" w:hAnsiTheme="minorHAnsi"/>
              </w:rPr>
            </w:pPr>
          </w:p>
          <w:p w:rsidR="00531BF5" w:rsidRDefault="00531BF5" w:rsidP="00531BF5">
            <w:pPr>
              <w:rPr>
                <w:rFonts w:asciiTheme="minorHAnsi" w:hAnsiTheme="minorHAnsi" w:cs="Arial"/>
                <w:bCs/>
                <w:u w:val="single"/>
              </w:rPr>
            </w:pPr>
            <w:r>
              <w:rPr>
                <w:rFonts w:asciiTheme="minorHAnsi" w:hAnsiTheme="minorHAnsi"/>
              </w:rPr>
              <w:t>The Ohio Basin program has built software that allows both buyers and sellers to adjust quantities and prices based on unique trading ratios. The Klamath program did an analysis of research on attenuation between various zones of the watershed. These attenuation rates are proposed as the basis of trading ratios.</w:t>
            </w:r>
          </w:p>
          <w:p w:rsidR="00531BF5" w:rsidRDefault="00531BF5" w:rsidP="00531BF5">
            <w:pPr>
              <w:rPr>
                <w:rFonts w:asciiTheme="minorHAnsi" w:hAnsiTheme="minorHAnsi" w:cs="Arial"/>
                <w:bCs/>
                <w:u w:val="single"/>
              </w:rPr>
            </w:pPr>
          </w:p>
        </w:tc>
        <w:tc>
          <w:tcPr>
            <w:tcW w:w="5076" w:type="dxa"/>
          </w:tcPr>
          <w:p w:rsidR="00531BF5" w:rsidRPr="00E441D9" w:rsidRDefault="00531BF5" w:rsidP="00520DD2">
            <w:pPr>
              <w:rPr>
                <w:b/>
              </w:rPr>
            </w:pPr>
            <w:r>
              <w:rPr>
                <w:b/>
              </w:rPr>
              <w:t>Option B</w:t>
            </w:r>
          </w:p>
          <w:p w:rsidR="00531BF5" w:rsidRDefault="00531BF5" w:rsidP="00520DD2">
            <w:pPr>
              <w:rPr>
                <w:rFonts w:asciiTheme="minorHAnsi" w:hAnsiTheme="minorHAnsi"/>
                <w:i/>
              </w:rPr>
            </w:pPr>
            <w:r>
              <w:rPr>
                <w:rFonts w:asciiTheme="minorHAnsi" w:hAnsiTheme="minorHAnsi"/>
                <w:i/>
              </w:rPr>
              <w:t>Apply a single trading ratio across the watershed/trading area.</w:t>
            </w:r>
          </w:p>
          <w:p w:rsidR="00531BF5" w:rsidRDefault="00531BF5" w:rsidP="00520DD2">
            <w:pPr>
              <w:rPr>
                <w:rFonts w:asciiTheme="minorHAnsi" w:hAnsiTheme="minorHAnsi"/>
                <w:i/>
              </w:rPr>
            </w:pPr>
          </w:p>
          <w:p w:rsidR="00531BF5" w:rsidRDefault="0000233C" w:rsidP="00520DD2">
            <w:pPr>
              <w:rPr>
                <w:rFonts w:asciiTheme="minorHAnsi" w:hAnsiTheme="minorHAnsi"/>
                <w:b/>
              </w:rPr>
            </w:pPr>
            <w:r>
              <w:rPr>
                <w:rFonts w:asciiTheme="minorHAnsi" w:hAnsiTheme="minorHAnsi"/>
                <w:b/>
              </w:rPr>
              <w:t>Pros and Cons</w:t>
            </w:r>
          </w:p>
          <w:p w:rsidR="005F29F8" w:rsidRDefault="00531BF5" w:rsidP="0040059B">
            <w:pPr>
              <w:spacing w:after="120"/>
            </w:pPr>
            <w:r>
              <w:t>This approach simplifies the application of trading ratios, and provides more predictability</w:t>
            </w:r>
            <w:r w:rsidR="00DF2832">
              <w:t xml:space="preserve"> for buyers and sellers</w:t>
            </w:r>
            <w:r>
              <w:t xml:space="preserve">. A single trading ratio works well where pollution reductions anywhere in the watershed will have similar benefits to the overall water quality standards and other goals. </w:t>
            </w:r>
            <w:r w:rsidR="00DF2832">
              <w:t xml:space="preserve">However, </w:t>
            </w:r>
            <w:r w:rsidR="00F835E3" w:rsidRPr="002538D6">
              <w:t>this approach</w:t>
            </w:r>
            <w:r w:rsidR="00DF2832">
              <w:t xml:space="preserve"> also reduces a program’s ability to account for </w:t>
            </w:r>
            <w:r w:rsidR="00F20008">
              <w:t>site-specific</w:t>
            </w:r>
            <w:r w:rsidR="00DF2832">
              <w:t xml:space="preserve"> factors and variation in deliver</w:t>
            </w:r>
            <w:r w:rsidR="00AD0A83">
              <w:t>y</w:t>
            </w:r>
            <w:r w:rsidR="00DF2832">
              <w:t xml:space="preserve">/attenuation throughout the watershed. </w:t>
            </w:r>
          </w:p>
        </w:tc>
      </w:tr>
      <w:tr w:rsidR="00531BF5">
        <w:trPr>
          <w:trHeight w:val="620"/>
        </w:trPr>
        <w:tc>
          <w:tcPr>
            <w:tcW w:w="5076" w:type="dxa"/>
            <w:vMerge/>
          </w:tcPr>
          <w:p w:rsidR="00531BF5" w:rsidRDefault="00531BF5" w:rsidP="00531BF5">
            <w:pPr>
              <w:rPr>
                <w:rFonts w:asciiTheme="minorHAnsi" w:hAnsiTheme="minorHAnsi"/>
                <w:i/>
              </w:rPr>
            </w:pPr>
          </w:p>
        </w:tc>
        <w:tc>
          <w:tcPr>
            <w:tcW w:w="5076" w:type="dxa"/>
          </w:tcPr>
          <w:p w:rsidR="00531BF5" w:rsidRDefault="00531BF5" w:rsidP="00531BF5">
            <w:pPr>
              <w:rPr>
                <w:b/>
              </w:rPr>
            </w:pPr>
            <w:r>
              <w:rPr>
                <w:b/>
              </w:rPr>
              <w:t>Option C</w:t>
            </w:r>
          </w:p>
          <w:p w:rsidR="00531BF5" w:rsidRDefault="00531BF5" w:rsidP="00531BF5">
            <w:pPr>
              <w:rPr>
                <w:rFonts w:asciiTheme="minorHAnsi" w:hAnsiTheme="minorHAnsi"/>
                <w:i/>
              </w:rPr>
            </w:pPr>
            <w:r>
              <w:rPr>
                <w:rFonts w:asciiTheme="minorHAnsi" w:hAnsiTheme="minorHAnsi"/>
                <w:i/>
              </w:rPr>
              <w:t>In cases where information is not available to determine ratios under Option A or B, use a ratio of 2:1 or greater applied across the trading area until a more detailed ratio can be developed.</w:t>
            </w:r>
          </w:p>
          <w:p w:rsidR="00531BF5" w:rsidRDefault="00531BF5" w:rsidP="00531BF5">
            <w:pPr>
              <w:rPr>
                <w:rFonts w:asciiTheme="minorHAnsi" w:hAnsiTheme="minorHAnsi"/>
                <w:i/>
              </w:rPr>
            </w:pPr>
          </w:p>
          <w:p w:rsidR="00531BF5" w:rsidRDefault="00531BF5" w:rsidP="0045547F">
            <w:pPr>
              <w:rPr>
                <w:rFonts w:asciiTheme="minorHAnsi" w:hAnsiTheme="minorHAnsi"/>
                <w:b/>
              </w:rPr>
            </w:pPr>
            <w:r>
              <w:rPr>
                <w:rFonts w:asciiTheme="minorHAnsi" w:hAnsiTheme="minorHAnsi"/>
                <w:b/>
              </w:rPr>
              <w:t>Pros and Cons</w:t>
            </w:r>
          </w:p>
          <w:p w:rsidR="005F29F8" w:rsidRDefault="00531BF5" w:rsidP="0040059B">
            <w:pPr>
              <w:spacing w:after="120"/>
              <w:rPr>
                <w:b/>
              </w:rPr>
            </w:pPr>
            <w:r>
              <w:t>This approach simplifies the application of trading ratios even more, but is not supported by the rationale provided in either Option A or Option B.</w:t>
            </w:r>
          </w:p>
        </w:tc>
      </w:tr>
    </w:tbl>
    <w:p w:rsidR="00293864" w:rsidRDefault="001D7378" w:rsidP="005E5519">
      <w:pPr>
        <w:pStyle w:val="Default"/>
        <w:spacing w:before="240" w:after="120"/>
        <w:rPr>
          <w:rFonts w:asciiTheme="minorHAnsi" w:hAnsiTheme="minorHAnsi" w:cs="Arial"/>
          <w:bCs/>
          <w:noProof/>
        </w:rPr>
      </w:pPr>
      <w:r>
        <w:rPr>
          <w:rFonts w:asciiTheme="minorHAnsi" w:hAnsiTheme="minorHAnsi" w:cs="Arial"/>
          <w:bCs/>
          <w:u w:val="single"/>
        </w:rPr>
        <w:t>Does a ratio always need to account for delivery, equivalency, uncertainty, and retirement</w:t>
      </w:r>
      <w:r w:rsidR="00293864">
        <w:rPr>
          <w:rFonts w:asciiTheme="minorHAnsi" w:hAnsiTheme="minorHAnsi" w:cs="Arial"/>
          <w:bCs/>
          <w:u w:val="single"/>
        </w:rPr>
        <w:t>?</w:t>
      </w:r>
      <w:r w:rsidR="00293864" w:rsidRPr="007F7496">
        <w:rPr>
          <w:rFonts w:asciiTheme="minorHAnsi" w:hAnsiTheme="minorHAnsi" w:cs="Arial"/>
          <w:bCs/>
          <w:noProof/>
        </w:rPr>
        <w:t xml:space="preserve"> </w:t>
      </w:r>
    </w:p>
    <w:p w:rsidR="00293864" w:rsidRPr="004540A2" w:rsidRDefault="001D7378" w:rsidP="00293864">
      <w:pPr>
        <w:pStyle w:val="Default"/>
        <w:spacing w:before="120" w:after="120"/>
        <w:rPr>
          <w:rFonts w:asciiTheme="minorHAnsi" w:hAnsiTheme="minorHAnsi"/>
        </w:rPr>
      </w:pPr>
      <w:r>
        <w:rPr>
          <w:rFonts w:asciiTheme="minorHAnsi" w:hAnsiTheme="minorHAnsi"/>
        </w:rPr>
        <w:t xml:space="preserve">In some watersheds and for some pollutants, a state water quality agency and/or stakeholders may choose to adjust a ratio for </w:t>
      </w:r>
      <w:r w:rsidR="00F76FC1">
        <w:rPr>
          <w:rFonts w:asciiTheme="minorHAnsi" w:hAnsiTheme="minorHAnsi"/>
        </w:rPr>
        <w:t>several reasons. Delivery ratios may not be included if water quality improvements need to be focused in upper reaches to meet water quality standards. Equivalency ratios may not be applicable in some trading scenarios. But should there always be some accounting for uncertainty and retirement? Applying a retirement ratio might also be used to help address baseline pollution reduction requirements for nonpoint sources.</w:t>
      </w:r>
      <w:r w:rsidR="00293864">
        <w:rPr>
          <w:rFonts w:asciiTheme="minorHAnsi" w:hAnsiTheme="minorHAnsi"/>
        </w:rPr>
        <w:t xml:space="preserve">  </w:t>
      </w:r>
    </w:p>
    <w:tbl>
      <w:tblPr>
        <w:tblStyle w:val="TableGrid"/>
        <w:tblW w:w="0" w:type="auto"/>
        <w:tblLook w:val="04A0" w:firstRow="1" w:lastRow="0" w:firstColumn="1" w:lastColumn="0" w:noHBand="0" w:noVBand="1"/>
      </w:tblPr>
      <w:tblGrid>
        <w:gridCol w:w="5076"/>
        <w:gridCol w:w="5076"/>
      </w:tblGrid>
      <w:tr w:rsidR="00F76FC1">
        <w:trPr>
          <w:trHeight w:val="944"/>
        </w:trPr>
        <w:tc>
          <w:tcPr>
            <w:tcW w:w="5076" w:type="dxa"/>
          </w:tcPr>
          <w:p w:rsidR="00F76FC1" w:rsidRPr="00E441D9" w:rsidRDefault="00F76FC1" w:rsidP="00520DD2">
            <w:pPr>
              <w:rPr>
                <w:b/>
              </w:rPr>
            </w:pPr>
            <w:r w:rsidRPr="00E441D9">
              <w:rPr>
                <w:b/>
              </w:rPr>
              <w:t>Option A</w:t>
            </w:r>
          </w:p>
          <w:p w:rsidR="00F76FC1" w:rsidRPr="00F76FC1" w:rsidRDefault="002C1010" w:rsidP="00F835E3">
            <w:pPr>
              <w:rPr>
                <w:rFonts w:asciiTheme="minorHAnsi" w:hAnsiTheme="minorHAnsi"/>
                <w:i/>
              </w:rPr>
            </w:pPr>
            <w:r>
              <w:rPr>
                <w:rFonts w:asciiTheme="minorHAnsi" w:hAnsiTheme="minorHAnsi"/>
                <w:i/>
              </w:rPr>
              <w:t>T</w:t>
            </w:r>
            <w:r w:rsidRPr="002C1010">
              <w:rPr>
                <w:rFonts w:asciiTheme="minorHAnsi" w:hAnsiTheme="minorHAnsi"/>
                <w:i/>
              </w:rPr>
              <w:t xml:space="preserve">he documentation justifying a ratio should consider </w:t>
            </w:r>
            <w:r>
              <w:rPr>
                <w:rFonts w:asciiTheme="minorHAnsi" w:hAnsiTheme="minorHAnsi"/>
                <w:i/>
              </w:rPr>
              <w:t>and</w:t>
            </w:r>
            <w:r w:rsidR="00010DA6">
              <w:rPr>
                <w:rFonts w:asciiTheme="minorHAnsi" w:hAnsiTheme="minorHAnsi"/>
                <w:i/>
              </w:rPr>
              <w:t xml:space="preserve"> </w:t>
            </w:r>
            <w:r w:rsidR="00F835E3" w:rsidRPr="002538D6">
              <w:rPr>
                <w:rFonts w:asciiTheme="minorHAnsi" w:hAnsiTheme="minorHAnsi"/>
                <w:i/>
              </w:rPr>
              <w:t>record</w:t>
            </w:r>
            <w:r w:rsidR="00F835E3">
              <w:rPr>
                <w:rFonts w:asciiTheme="minorHAnsi" w:hAnsiTheme="minorHAnsi"/>
                <w:i/>
              </w:rPr>
              <w:t xml:space="preserve"> </w:t>
            </w:r>
            <w:r>
              <w:rPr>
                <w:rFonts w:asciiTheme="minorHAnsi" w:hAnsiTheme="minorHAnsi"/>
                <w:i/>
              </w:rPr>
              <w:t xml:space="preserve">decisions for </w:t>
            </w:r>
            <w:r w:rsidRPr="002C1010">
              <w:rPr>
                <w:rFonts w:asciiTheme="minorHAnsi" w:hAnsiTheme="minorHAnsi"/>
                <w:i/>
              </w:rPr>
              <w:t xml:space="preserve">all four types of ratios. </w:t>
            </w:r>
          </w:p>
        </w:tc>
        <w:tc>
          <w:tcPr>
            <w:tcW w:w="5076" w:type="dxa"/>
          </w:tcPr>
          <w:p w:rsidR="00F76FC1" w:rsidRPr="00E441D9" w:rsidRDefault="00F76FC1" w:rsidP="00520DD2">
            <w:pPr>
              <w:rPr>
                <w:b/>
              </w:rPr>
            </w:pPr>
            <w:r>
              <w:rPr>
                <w:b/>
              </w:rPr>
              <w:t>Option B</w:t>
            </w:r>
          </w:p>
          <w:p w:rsidR="00F76FC1" w:rsidRPr="00F76FC1" w:rsidRDefault="00F76FC1" w:rsidP="00F76FC1">
            <w:pPr>
              <w:rPr>
                <w:rFonts w:asciiTheme="minorHAnsi" w:hAnsiTheme="minorHAnsi"/>
                <w:i/>
              </w:rPr>
            </w:pPr>
            <w:r>
              <w:rPr>
                <w:rFonts w:asciiTheme="minorHAnsi" w:hAnsiTheme="minorHAnsi"/>
                <w:i/>
              </w:rPr>
              <w:t>Only document ratios that were built into the final program design</w:t>
            </w:r>
          </w:p>
        </w:tc>
      </w:tr>
    </w:tbl>
    <w:p w:rsidR="000D0A2B" w:rsidRPr="0040059B" w:rsidRDefault="00B679E1">
      <w:pPr>
        <w:pStyle w:val="Default"/>
        <w:spacing w:before="240" w:after="120"/>
        <w:rPr>
          <w:rFonts w:asciiTheme="minorHAnsi" w:hAnsiTheme="minorHAnsi"/>
          <w:lang w:eastAsia="zh-TW"/>
        </w:rPr>
      </w:pPr>
      <w:r w:rsidRPr="00494CBB">
        <w:rPr>
          <w:rFonts w:asciiTheme="minorHAnsi" w:hAnsiTheme="minorHAnsi"/>
          <w:b/>
        </w:rPr>
        <w:t xml:space="preserve">II. Recommended </w:t>
      </w:r>
      <w:r w:rsidR="00B87815" w:rsidRPr="00494CBB">
        <w:rPr>
          <w:rFonts w:asciiTheme="minorHAnsi" w:hAnsiTheme="minorHAnsi"/>
          <w:b/>
        </w:rPr>
        <w:t>default</w:t>
      </w:r>
      <w:r w:rsidR="00B87815" w:rsidRPr="00494CBB">
        <w:rPr>
          <w:rFonts w:asciiTheme="minorHAnsi" w:hAnsiTheme="minorHAnsi"/>
        </w:rPr>
        <w:t>:</w:t>
      </w:r>
      <w:r w:rsidR="00B87815">
        <w:rPr>
          <w:rFonts w:asciiTheme="minorHAnsi" w:hAnsiTheme="minorHAnsi"/>
          <w:i/>
        </w:rPr>
        <w:t xml:space="preserve"> </w:t>
      </w:r>
      <w:r w:rsidR="00E007CE" w:rsidRPr="0040059B">
        <w:rPr>
          <w:rFonts w:asciiTheme="minorHAnsi" w:hAnsiTheme="minorHAnsi"/>
          <w:lang w:eastAsia="zh-TW"/>
        </w:rPr>
        <w:t>Ratios should be based in science. If watershed goals, economic feasibility, and appropriate levels of risk need to be considered, they are included in trading ratio decisions carefully and thoughtfull</w:t>
      </w:r>
      <w:r w:rsidR="00E007CE" w:rsidRPr="002538D6">
        <w:rPr>
          <w:rFonts w:asciiTheme="minorHAnsi" w:hAnsiTheme="minorHAnsi"/>
          <w:lang w:eastAsia="zh-TW"/>
        </w:rPr>
        <w:t>y</w:t>
      </w:r>
      <w:r w:rsidR="00B96763" w:rsidRPr="002538D6">
        <w:rPr>
          <w:rFonts w:asciiTheme="minorHAnsi" w:hAnsiTheme="minorHAnsi"/>
          <w:lang w:eastAsia="zh-TW"/>
        </w:rPr>
        <w:t>,</w:t>
      </w:r>
      <w:r w:rsidR="00DF2832">
        <w:rPr>
          <w:rFonts w:asciiTheme="minorHAnsi" w:hAnsiTheme="minorHAnsi"/>
          <w:lang w:eastAsia="zh-TW"/>
        </w:rPr>
        <w:t xml:space="preserve"> and documented in a transparent manner</w:t>
      </w:r>
      <w:r w:rsidR="00E007CE" w:rsidRPr="0040059B">
        <w:rPr>
          <w:rFonts w:asciiTheme="minorHAnsi" w:hAnsiTheme="minorHAnsi"/>
          <w:lang w:eastAsia="zh-TW"/>
        </w:rPr>
        <w:t>. Trading ratios can be applied as standard factors to individual transactions or combined together and applied as a single ratio for all transactions within a watershed. For either choice, decisions on ratios need to be documented to identify reasoning behind decisions for delivery/location, equivalency, uncertainty, and retirement ratios. Ratios should always be greater than 1:1 (e.g. for every unit of poll</w:t>
      </w:r>
      <w:r w:rsidR="00010DA6">
        <w:rPr>
          <w:rFonts w:asciiTheme="minorHAnsi" w:hAnsiTheme="minorHAnsi"/>
          <w:lang w:eastAsia="zh-TW"/>
        </w:rPr>
        <w:t>ution</w:t>
      </w:r>
      <w:r w:rsidR="00E007CE" w:rsidRPr="0040059B">
        <w:rPr>
          <w:rFonts w:asciiTheme="minorHAnsi" w:hAnsiTheme="minorHAnsi"/>
          <w:lang w:eastAsia="zh-TW"/>
        </w:rPr>
        <w:t xml:space="preserve"> discharged, there should be more than one unit reduced). </w:t>
      </w:r>
    </w:p>
    <w:p w:rsidR="000D0A2B" w:rsidRDefault="00494CBB">
      <w:pPr>
        <w:pStyle w:val="Default"/>
        <w:spacing w:before="240" w:after="120"/>
        <w:rPr>
          <w:rFonts w:asciiTheme="minorHAnsi" w:hAnsiTheme="minorHAnsi"/>
        </w:rPr>
      </w:pPr>
      <w:r>
        <w:rPr>
          <w:rFonts w:asciiTheme="minorHAnsi" w:hAnsiTheme="minorHAnsi"/>
          <w:b/>
        </w:rPr>
        <w:lastRenderedPageBreak/>
        <w:t xml:space="preserve">III. </w:t>
      </w:r>
      <w:r w:rsidR="00B679E1" w:rsidRPr="00494CBB">
        <w:rPr>
          <w:rFonts w:asciiTheme="minorHAnsi" w:hAnsiTheme="minorHAnsi"/>
          <w:b/>
        </w:rPr>
        <w:t>Reasons to deviate from the default</w:t>
      </w:r>
      <w:r w:rsidR="00B87815" w:rsidRPr="00494CBB">
        <w:rPr>
          <w:rFonts w:asciiTheme="minorHAnsi" w:hAnsiTheme="minorHAnsi"/>
        </w:rPr>
        <w:t>:</w:t>
      </w:r>
      <w:r w:rsidR="00B87815">
        <w:rPr>
          <w:rFonts w:asciiTheme="minorHAnsi" w:hAnsiTheme="minorHAnsi"/>
          <w:b/>
        </w:rPr>
        <w:t xml:space="preserve"> </w:t>
      </w:r>
      <w:r w:rsidR="00293864">
        <w:rPr>
          <w:rFonts w:asciiTheme="minorHAnsi" w:hAnsiTheme="minorHAnsi"/>
        </w:rPr>
        <w:t xml:space="preserve">For more complex projects, </w:t>
      </w:r>
      <w:r w:rsidR="00F76FC1">
        <w:rPr>
          <w:rFonts w:asciiTheme="minorHAnsi" w:hAnsiTheme="minorHAnsi"/>
        </w:rPr>
        <w:t>state agencies may choose to adjust the trading ratio factors to account for increases in uncertainty, possibilities of significant environmental improvement, etc</w:t>
      </w:r>
      <w:r w:rsidR="00293864">
        <w:rPr>
          <w:rFonts w:asciiTheme="minorHAnsi" w:hAnsiTheme="minorHAnsi"/>
        </w:rPr>
        <w:t>.</w:t>
      </w:r>
    </w:p>
    <w:p w:rsidR="00FE3AC9" w:rsidRPr="003E33D3" w:rsidRDefault="00E97456" w:rsidP="008C2F65">
      <w:pPr>
        <w:pStyle w:val="Heading2"/>
        <w:rPr>
          <w:rFonts w:asciiTheme="minorHAnsi" w:hAnsiTheme="minorHAnsi"/>
          <w:b/>
          <w:sz w:val="24"/>
          <w:szCs w:val="24"/>
        </w:rPr>
      </w:pPr>
      <w:bookmarkStart w:id="2" w:name="_Toc230884240"/>
      <w:r>
        <w:rPr>
          <w:b/>
        </w:rPr>
        <w:t>2</w:t>
      </w:r>
      <w:r w:rsidR="00FE3AC9" w:rsidRPr="003E33D3">
        <w:rPr>
          <w:b/>
        </w:rPr>
        <w:t xml:space="preserve">.2 </w:t>
      </w:r>
      <w:r w:rsidR="005771F7">
        <w:rPr>
          <w:b/>
        </w:rPr>
        <w:t>Reserve Pool</w:t>
      </w:r>
      <w:bookmarkEnd w:id="2"/>
    </w:p>
    <w:p w:rsidR="00E15AC2" w:rsidRDefault="002D4563" w:rsidP="002D4563">
      <w:pPr>
        <w:pStyle w:val="Default"/>
        <w:tabs>
          <w:tab w:val="left" w:pos="810"/>
        </w:tabs>
        <w:rPr>
          <w:rFonts w:asciiTheme="minorHAnsi" w:hAnsiTheme="minorHAnsi"/>
        </w:rPr>
      </w:pPr>
      <w:r>
        <w:rPr>
          <w:rFonts w:asciiTheme="minorHAnsi" w:hAnsiTheme="minorHAnsi" w:cs="Arial"/>
          <w:bCs/>
        </w:rPr>
        <w:t xml:space="preserve">Several recent trading programs have established a reserve pool of credits to programmatically manage the risks </w:t>
      </w:r>
      <w:r w:rsidR="00DF2832">
        <w:rPr>
          <w:rFonts w:asciiTheme="minorHAnsi" w:hAnsiTheme="minorHAnsi" w:cs="Arial"/>
          <w:bCs/>
        </w:rPr>
        <w:t>stemming from uncertainty and project failure</w:t>
      </w:r>
      <w:r w:rsidR="00FE3AC9">
        <w:rPr>
          <w:rFonts w:asciiTheme="minorHAnsi" w:hAnsiTheme="minorHAnsi"/>
        </w:rPr>
        <w:t>.</w:t>
      </w:r>
      <w:r>
        <w:rPr>
          <w:rFonts w:asciiTheme="minorHAnsi" w:hAnsiTheme="minorHAnsi"/>
        </w:rPr>
        <w:t xml:space="preserve"> In general, the reserve is built by applying a reserve/</w:t>
      </w:r>
      <w:r w:rsidR="00E15AC2">
        <w:rPr>
          <w:rFonts w:asciiTheme="minorHAnsi" w:hAnsiTheme="minorHAnsi"/>
        </w:rPr>
        <w:t xml:space="preserve"> </w:t>
      </w:r>
      <w:r>
        <w:rPr>
          <w:rFonts w:asciiTheme="minorHAnsi" w:hAnsiTheme="minorHAnsi"/>
        </w:rPr>
        <w:t>retirement ratio to each credit project. A percentage of credits</w:t>
      </w:r>
      <w:r w:rsidR="0068477C">
        <w:rPr>
          <w:rFonts w:asciiTheme="minorHAnsi" w:hAnsiTheme="minorHAnsi"/>
        </w:rPr>
        <w:t xml:space="preserve"> (via the ratio)</w:t>
      </w:r>
      <w:r>
        <w:rPr>
          <w:rFonts w:asciiTheme="minorHAnsi" w:hAnsiTheme="minorHAnsi"/>
        </w:rPr>
        <w:t xml:space="preserve"> from each transaction </w:t>
      </w:r>
      <w:r w:rsidR="00F20008">
        <w:rPr>
          <w:rFonts w:asciiTheme="minorHAnsi" w:hAnsiTheme="minorHAnsi"/>
        </w:rPr>
        <w:t>are</w:t>
      </w:r>
      <w:r>
        <w:rPr>
          <w:rFonts w:asciiTheme="minorHAnsi" w:hAnsiTheme="minorHAnsi"/>
        </w:rPr>
        <w:t xml:space="preserve"> then placed in a reserve managed by </w:t>
      </w:r>
      <w:r w:rsidR="000D0A2B">
        <w:rPr>
          <w:rFonts w:asciiTheme="minorHAnsi" w:hAnsiTheme="minorHAnsi"/>
        </w:rPr>
        <w:t xml:space="preserve">a </w:t>
      </w:r>
      <w:r>
        <w:rPr>
          <w:rFonts w:asciiTheme="minorHAnsi" w:hAnsiTheme="minorHAnsi"/>
        </w:rPr>
        <w:t>trading program administrator.</w:t>
      </w:r>
      <w:r w:rsidR="00E15AC2">
        <w:rPr>
          <w:rFonts w:asciiTheme="minorHAnsi" w:hAnsiTheme="minorHAnsi"/>
        </w:rPr>
        <w:t xml:space="preserve"> </w:t>
      </w:r>
      <w:r>
        <w:rPr>
          <w:rFonts w:asciiTheme="minorHAnsi" w:hAnsiTheme="minorHAnsi"/>
        </w:rPr>
        <w:t xml:space="preserve">The </w:t>
      </w:r>
      <w:r w:rsidR="00E15AC2">
        <w:rPr>
          <w:rFonts w:asciiTheme="minorHAnsi" w:hAnsiTheme="minorHAnsi"/>
        </w:rPr>
        <w:t xml:space="preserve">reserve pool manager </w:t>
      </w:r>
      <w:r>
        <w:rPr>
          <w:rFonts w:asciiTheme="minorHAnsi" w:hAnsiTheme="minorHAnsi"/>
        </w:rPr>
        <w:t>controls access to the reserve based on rul</w:t>
      </w:r>
      <w:r w:rsidR="0068477C">
        <w:rPr>
          <w:rFonts w:asciiTheme="minorHAnsi" w:hAnsiTheme="minorHAnsi"/>
        </w:rPr>
        <w:t>e</w:t>
      </w:r>
      <w:r>
        <w:rPr>
          <w:rFonts w:asciiTheme="minorHAnsi" w:hAnsiTheme="minorHAnsi"/>
        </w:rPr>
        <w:t>s set forth in the trading program.</w:t>
      </w:r>
      <w:r w:rsidR="00E15AC2">
        <w:rPr>
          <w:rFonts w:asciiTheme="minorHAnsi" w:hAnsiTheme="minorHAnsi"/>
        </w:rPr>
        <w:t xml:space="preserve"> Following are outstanding questions regarding reserve pools:</w:t>
      </w:r>
    </w:p>
    <w:p w:rsidR="00E15AC2" w:rsidRDefault="00E15AC2" w:rsidP="002D4563">
      <w:pPr>
        <w:pStyle w:val="Default"/>
        <w:numPr>
          <w:ilvl w:val="0"/>
          <w:numId w:val="5"/>
        </w:numPr>
        <w:tabs>
          <w:tab w:val="left" w:pos="810"/>
        </w:tabs>
        <w:rPr>
          <w:rFonts w:asciiTheme="minorHAnsi" w:hAnsiTheme="minorHAnsi"/>
        </w:rPr>
      </w:pPr>
      <w:r>
        <w:rPr>
          <w:rFonts w:asciiTheme="minorHAnsi" w:hAnsiTheme="minorHAnsi"/>
        </w:rPr>
        <w:t>Who manages the rese</w:t>
      </w:r>
      <w:r w:rsidR="00010DA6">
        <w:rPr>
          <w:rFonts w:asciiTheme="minorHAnsi" w:hAnsiTheme="minorHAnsi"/>
        </w:rPr>
        <w:t>r</w:t>
      </w:r>
      <w:r>
        <w:rPr>
          <w:rFonts w:asciiTheme="minorHAnsi" w:hAnsiTheme="minorHAnsi"/>
        </w:rPr>
        <w:t xml:space="preserve">ve pool (market administrator, state, point source entity)? </w:t>
      </w:r>
    </w:p>
    <w:p w:rsidR="00E15AC2" w:rsidRDefault="00EF7C16" w:rsidP="002D4563">
      <w:pPr>
        <w:pStyle w:val="Default"/>
        <w:numPr>
          <w:ilvl w:val="0"/>
          <w:numId w:val="5"/>
        </w:numPr>
        <w:tabs>
          <w:tab w:val="left" w:pos="810"/>
        </w:tabs>
        <w:rPr>
          <w:rFonts w:asciiTheme="minorHAnsi" w:hAnsiTheme="minorHAnsi"/>
        </w:rPr>
      </w:pPr>
      <w:r>
        <w:rPr>
          <w:rFonts w:asciiTheme="minorHAnsi" w:hAnsiTheme="minorHAnsi"/>
        </w:rPr>
        <w:t>Under what circumstances c</w:t>
      </w:r>
      <w:r w:rsidR="00E15AC2">
        <w:rPr>
          <w:rFonts w:asciiTheme="minorHAnsi" w:hAnsiTheme="minorHAnsi"/>
        </w:rPr>
        <w:t>an a point source access credits</w:t>
      </w:r>
      <w:r>
        <w:rPr>
          <w:rFonts w:asciiTheme="minorHAnsi" w:hAnsiTheme="minorHAnsi"/>
        </w:rPr>
        <w:t xml:space="preserve"> from the reserve pool</w:t>
      </w:r>
      <w:r w:rsidR="00E15AC2">
        <w:rPr>
          <w:rFonts w:asciiTheme="minorHAnsi" w:hAnsiTheme="minorHAnsi"/>
        </w:rPr>
        <w:t xml:space="preserve">, </w:t>
      </w:r>
      <w:r>
        <w:rPr>
          <w:rFonts w:asciiTheme="minorHAnsi" w:hAnsiTheme="minorHAnsi"/>
        </w:rPr>
        <w:t>when must they be purchased?</w:t>
      </w:r>
    </w:p>
    <w:p w:rsidR="00E15AC2" w:rsidRDefault="002D4563" w:rsidP="002D4563">
      <w:pPr>
        <w:pStyle w:val="Default"/>
        <w:numPr>
          <w:ilvl w:val="0"/>
          <w:numId w:val="5"/>
        </w:numPr>
        <w:tabs>
          <w:tab w:val="left" w:pos="810"/>
        </w:tabs>
        <w:rPr>
          <w:rFonts w:asciiTheme="minorHAnsi" w:hAnsiTheme="minorHAnsi"/>
        </w:rPr>
      </w:pPr>
      <w:r w:rsidRPr="00E15AC2">
        <w:rPr>
          <w:rFonts w:asciiTheme="minorHAnsi" w:hAnsiTheme="minorHAnsi"/>
        </w:rPr>
        <w:t xml:space="preserve">How is the reserve repopulated over time? </w:t>
      </w:r>
    </w:p>
    <w:p w:rsidR="00C60074" w:rsidRPr="00E15AC2" w:rsidRDefault="002D4563" w:rsidP="002D4563">
      <w:pPr>
        <w:pStyle w:val="Default"/>
        <w:numPr>
          <w:ilvl w:val="0"/>
          <w:numId w:val="5"/>
        </w:numPr>
        <w:tabs>
          <w:tab w:val="left" w:pos="810"/>
        </w:tabs>
        <w:rPr>
          <w:rFonts w:asciiTheme="minorHAnsi" w:hAnsiTheme="minorHAnsi"/>
        </w:rPr>
      </w:pPr>
      <w:r w:rsidRPr="00E15AC2">
        <w:rPr>
          <w:rFonts w:asciiTheme="minorHAnsi" w:hAnsiTheme="minorHAnsi"/>
        </w:rPr>
        <w:t>If the reserve gets too large, how are surplus credits dealt with?</w:t>
      </w:r>
    </w:p>
    <w:p w:rsidR="000C6C1F" w:rsidRDefault="00E15AC2" w:rsidP="000C6C1F">
      <w:pPr>
        <w:pStyle w:val="Default"/>
        <w:spacing w:before="120" w:after="120"/>
        <w:rPr>
          <w:rFonts w:asciiTheme="minorHAnsi" w:hAnsiTheme="minorHAnsi" w:cs="Arial"/>
          <w:bCs/>
        </w:rPr>
      </w:pPr>
      <w:r w:rsidRPr="00E15AC2">
        <w:rPr>
          <w:rFonts w:asciiTheme="minorHAnsi" w:hAnsiTheme="minorHAnsi"/>
        </w:rPr>
        <w:t xml:space="preserve">The biggest advantage of a reserve is that it </w:t>
      </w:r>
      <w:r w:rsidR="00F20008">
        <w:rPr>
          <w:rFonts w:asciiTheme="minorHAnsi" w:hAnsiTheme="minorHAnsi"/>
        </w:rPr>
        <w:t>provides a mechanism for pooling and addressing risk of project performance across the entire program</w:t>
      </w:r>
      <w:r w:rsidRPr="00E15AC2">
        <w:rPr>
          <w:rFonts w:asciiTheme="minorHAnsi" w:hAnsiTheme="minorHAnsi"/>
        </w:rPr>
        <w:t xml:space="preserve">.  </w:t>
      </w:r>
      <w:r w:rsidR="000C6C1F">
        <w:rPr>
          <w:rFonts w:asciiTheme="minorHAnsi" w:hAnsiTheme="minorHAnsi" w:cs="Arial"/>
          <w:bCs/>
        </w:rPr>
        <w:t>Not all trading programs use a reserve</w:t>
      </w:r>
      <w:r>
        <w:rPr>
          <w:rFonts w:asciiTheme="minorHAnsi" w:hAnsiTheme="minorHAnsi" w:cs="Arial"/>
          <w:bCs/>
        </w:rPr>
        <w:t>, however</w:t>
      </w:r>
      <w:r w:rsidR="000C6C1F">
        <w:rPr>
          <w:rFonts w:asciiTheme="minorHAnsi" w:hAnsiTheme="minorHAnsi" w:cs="Arial"/>
          <w:bCs/>
        </w:rPr>
        <w:t>. In some trading programs, NPDES permit holders are required to hold a minimum number of credits. If any of the projects associated with those credits fail, then they have a window of time to remedy that problem. As such, some NPDES permittees would rather “</w:t>
      </w:r>
      <w:r w:rsidR="00996C39">
        <w:rPr>
          <w:rFonts w:asciiTheme="minorHAnsi" w:hAnsiTheme="minorHAnsi" w:cs="Arial"/>
          <w:bCs/>
        </w:rPr>
        <w:t>self-insure</w:t>
      </w:r>
      <w:r w:rsidR="000C6C1F">
        <w:rPr>
          <w:rFonts w:asciiTheme="minorHAnsi" w:hAnsiTheme="minorHAnsi" w:cs="Arial"/>
          <w:bCs/>
        </w:rPr>
        <w:t xml:space="preserve">” by developing more projects than their requirements. </w:t>
      </w:r>
    </w:p>
    <w:p w:rsidR="00DF63C5" w:rsidRDefault="00494CBB">
      <w:pPr>
        <w:pStyle w:val="Default"/>
        <w:spacing w:before="240" w:after="120"/>
        <w:rPr>
          <w:rFonts w:asciiTheme="minorHAnsi" w:hAnsiTheme="minorHAnsi" w:cs="Arial"/>
          <w:b/>
          <w:bCs/>
        </w:rPr>
      </w:pPr>
      <w:r w:rsidRPr="00E441D9">
        <w:rPr>
          <w:rFonts w:asciiTheme="minorHAnsi" w:hAnsiTheme="minorHAnsi" w:cs="Arial"/>
          <w:b/>
          <w:bCs/>
        </w:rPr>
        <w:t xml:space="preserve">I. </w:t>
      </w:r>
      <w:r>
        <w:rPr>
          <w:rFonts w:asciiTheme="minorHAnsi" w:hAnsiTheme="minorHAnsi" w:cs="Arial"/>
          <w:b/>
          <w:bCs/>
        </w:rPr>
        <w:t>Options and e</w:t>
      </w:r>
      <w:r w:rsidRPr="00E441D9">
        <w:rPr>
          <w:rFonts w:asciiTheme="minorHAnsi" w:hAnsiTheme="minorHAnsi" w:cs="Arial"/>
          <w:b/>
          <w:bCs/>
        </w:rPr>
        <w:t>xamples</w:t>
      </w:r>
    </w:p>
    <w:tbl>
      <w:tblPr>
        <w:tblStyle w:val="TableGrid"/>
        <w:tblW w:w="0" w:type="auto"/>
        <w:tblLook w:val="04A0" w:firstRow="1" w:lastRow="0" w:firstColumn="1" w:lastColumn="0" w:noHBand="0" w:noVBand="1"/>
      </w:tblPr>
      <w:tblGrid>
        <w:gridCol w:w="5076"/>
        <w:gridCol w:w="5076"/>
      </w:tblGrid>
      <w:tr w:rsidR="002C1010">
        <w:trPr>
          <w:trHeight w:val="620"/>
        </w:trPr>
        <w:tc>
          <w:tcPr>
            <w:tcW w:w="5076" w:type="dxa"/>
          </w:tcPr>
          <w:p w:rsidR="002C1010" w:rsidRPr="00E441D9" w:rsidRDefault="002C1010" w:rsidP="00520DD2">
            <w:pPr>
              <w:rPr>
                <w:b/>
              </w:rPr>
            </w:pPr>
            <w:r w:rsidRPr="00E441D9">
              <w:rPr>
                <w:b/>
              </w:rPr>
              <w:t>Option A</w:t>
            </w:r>
          </w:p>
          <w:p w:rsidR="002C1010" w:rsidRDefault="00E754B4" w:rsidP="00520DD2">
            <w:pPr>
              <w:rPr>
                <w:rFonts w:asciiTheme="minorHAnsi" w:hAnsiTheme="minorHAnsi"/>
                <w:i/>
              </w:rPr>
            </w:pPr>
            <w:r>
              <w:rPr>
                <w:rFonts w:asciiTheme="minorHAnsi" w:hAnsiTheme="minorHAnsi"/>
                <w:i/>
              </w:rPr>
              <w:t>In permits, point sources</w:t>
            </w:r>
            <w:r w:rsidR="00EF7C16">
              <w:rPr>
                <w:rFonts w:asciiTheme="minorHAnsi" w:hAnsiTheme="minorHAnsi"/>
                <w:i/>
              </w:rPr>
              <w:t xml:space="preserve"> are required</w:t>
            </w:r>
            <w:r>
              <w:rPr>
                <w:rFonts w:asciiTheme="minorHAnsi" w:hAnsiTheme="minorHAnsi"/>
                <w:i/>
              </w:rPr>
              <w:t xml:space="preserve"> to purchase credits and place them into </w:t>
            </w:r>
            <w:r w:rsidR="002C1010">
              <w:rPr>
                <w:rFonts w:asciiTheme="minorHAnsi" w:hAnsiTheme="minorHAnsi"/>
                <w:i/>
              </w:rPr>
              <w:t xml:space="preserve">a reserve </w:t>
            </w:r>
            <w:r>
              <w:rPr>
                <w:rFonts w:asciiTheme="minorHAnsi" w:hAnsiTheme="minorHAnsi"/>
                <w:i/>
              </w:rPr>
              <w:t>pool</w:t>
            </w:r>
            <w:r w:rsidR="002C1010">
              <w:rPr>
                <w:rFonts w:asciiTheme="minorHAnsi" w:hAnsiTheme="minorHAnsi"/>
                <w:i/>
              </w:rPr>
              <w:t>.</w:t>
            </w:r>
          </w:p>
          <w:p w:rsidR="002C1010" w:rsidRDefault="002C1010" w:rsidP="00520DD2">
            <w:pPr>
              <w:rPr>
                <w:rFonts w:asciiTheme="minorHAnsi" w:hAnsiTheme="minorHAnsi"/>
                <w:i/>
              </w:rPr>
            </w:pPr>
          </w:p>
          <w:p w:rsidR="002C1010" w:rsidRDefault="0000233C" w:rsidP="00520DD2">
            <w:pPr>
              <w:rPr>
                <w:rFonts w:asciiTheme="minorHAnsi" w:hAnsiTheme="minorHAnsi"/>
                <w:b/>
              </w:rPr>
            </w:pPr>
            <w:r>
              <w:rPr>
                <w:rFonts w:asciiTheme="minorHAnsi" w:hAnsiTheme="minorHAnsi"/>
                <w:b/>
              </w:rPr>
              <w:t>Pros and Cons</w:t>
            </w:r>
          </w:p>
          <w:p w:rsidR="002C1010" w:rsidRDefault="002C1010" w:rsidP="002C1010">
            <w:pPr>
              <w:rPr>
                <w:rFonts w:asciiTheme="minorHAnsi" w:hAnsiTheme="minorHAnsi" w:cs="Arial"/>
                <w:bCs/>
                <w:u w:val="single"/>
              </w:rPr>
            </w:pPr>
            <w:r>
              <w:rPr>
                <w:rFonts w:asciiTheme="minorHAnsi" w:hAnsiTheme="minorHAnsi"/>
              </w:rPr>
              <w:t xml:space="preserve">This option provides the greatest protection from programmatic risk of project failure. It builds a cushion of additional credits to help achieve water quality improvements and reduce the risk of non-compliance. There needs to be an entity managing the reserve, which means there will be some administrative costs. </w:t>
            </w:r>
            <w:r w:rsidR="00E754B4">
              <w:rPr>
                <w:rFonts w:asciiTheme="minorHAnsi" w:hAnsiTheme="minorHAnsi"/>
              </w:rPr>
              <w:t>Anti-backsliding issues may arise if the obligation to create a reserve pool is inserted into the permit as it relates to meeting effluent limits.</w:t>
            </w:r>
          </w:p>
        </w:tc>
        <w:tc>
          <w:tcPr>
            <w:tcW w:w="5076" w:type="dxa"/>
          </w:tcPr>
          <w:p w:rsidR="002C1010" w:rsidRPr="00E441D9" w:rsidRDefault="002C1010" w:rsidP="00520DD2">
            <w:pPr>
              <w:rPr>
                <w:b/>
              </w:rPr>
            </w:pPr>
            <w:r>
              <w:rPr>
                <w:b/>
              </w:rPr>
              <w:t>Option B</w:t>
            </w:r>
          </w:p>
          <w:p w:rsidR="002C1010" w:rsidRDefault="00EF7C16" w:rsidP="00520DD2">
            <w:pPr>
              <w:rPr>
                <w:rFonts w:asciiTheme="minorHAnsi" w:hAnsiTheme="minorHAnsi"/>
                <w:i/>
              </w:rPr>
            </w:pPr>
            <w:r>
              <w:rPr>
                <w:rFonts w:asciiTheme="minorHAnsi" w:hAnsiTheme="minorHAnsi"/>
                <w:i/>
              </w:rPr>
              <w:t>S</w:t>
            </w:r>
            <w:r w:rsidR="002C1010">
              <w:rPr>
                <w:rFonts w:asciiTheme="minorHAnsi" w:hAnsiTheme="minorHAnsi"/>
                <w:i/>
              </w:rPr>
              <w:t>ome publicly-funded projects</w:t>
            </w:r>
            <w:r>
              <w:rPr>
                <w:rFonts w:asciiTheme="minorHAnsi" w:hAnsiTheme="minorHAnsi"/>
                <w:i/>
              </w:rPr>
              <w:t xml:space="preserve"> are allowed</w:t>
            </w:r>
            <w:r w:rsidR="002C1010">
              <w:rPr>
                <w:rFonts w:asciiTheme="minorHAnsi" w:hAnsiTheme="minorHAnsi"/>
                <w:i/>
              </w:rPr>
              <w:t xml:space="preserve"> to generate credits for the reserve.</w:t>
            </w:r>
          </w:p>
          <w:p w:rsidR="002C1010" w:rsidRDefault="002C1010" w:rsidP="00520DD2">
            <w:pPr>
              <w:rPr>
                <w:rFonts w:asciiTheme="minorHAnsi" w:hAnsiTheme="minorHAnsi"/>
                <w:i/>
              </w:rPr>
            </w:pPr>
          </w:p>
          <w:p w:rsidR="002C1010" w:rsidRDefault="0000233C" w:rsidP="00520DD2">
            <w:pPr>
              <w:rPr>
                <w:rFonts w:asciiTheme="minorHAnsi" w:hAnsiTheme="minorHAnsi"/>
                <w:b/>
              </w:rPr>
            </w:pPr>
            <w:r>
              <w:rPr>
                <w:rFonts w:asciiTheme="minorHAnsi" w:hAnsiTheme="minorHAnsi"/>
                <w:b/>
              </w:rPr>
              <w:t>Pros and Cons</w:t>
            </w:r>
          </w:p>
          <w:p w:rsidR="005F29F8" w:rsidRDefault="002C1010" w:rsidP="0040059B">
            <w:pPr>
              <w:spacing w:after="120"/>
            </w:pPr>
            <w:r>
              <w:t xml:space="preserve">Some programs have discussed whether to allow Farm Bill-funded or other conservation projects to generate credits for the reserve. Hopefully these credits would never be used, but they might. The advantage is the ability to apply stewardship and verification standards to these projects. The disadvantage is </w:t>
            </w:r>
            <w:r w:rsidR="00EF7C16">
              <w:t xml:space="preserve">that some may perceive that </w:t>
            </w:r>
            <w:r>
              <w:t xml:space="preserve">conservation dollars </w:t>
            </w:r>
            <w:r w:rsidR="00EF7C16">
              <w:t xml:space="preserve">are being used </w:t>
            </w:r>
            <w:r>
              <w:t xml:space="preserve">to offset impacts and </w:t>
            </w:r>
            <w:r w:rsidR="00EF7C16">
              <w:t>that</w:t>
            </w:r>
            <w:r>
              <w:t xml:space="preserve"> “double dipping”</w:t>
            </w:r>
            <w:r w:rsidR="00EF7C16">
              <w:t xml:space="preserve"> is occurring.</w:t>
            </w:r>
          </w:p>
        </w:tc>
      </w:tr>
      <w:tr w:rsidR="002C1010">
        <w:trPr>
          <w:trHeight w:val="620"/>
        </w:trPr>
        <w:tc>
          <w:tcPr>
            <w:tcW w:w="10152" w:type="dxa"/>
            <w:gridSpan w:val="2"/>
          </w:tcPr>
          <w:p w:rsidR="002C1010" w:rsidRPr="00E441D9" w:rsidRDefault="002C1010" w:rsidP="000C6C1F">
            <w:pPr>
              <w:rPr>
                <w:b/>
              </w:rPr>
            </w:pPr>
            <w:r>
              <w:rPr>
                <w:b/>
              </w:rPr>
              <w:t>Option C</w:t>
            </w:r>
          </w:p>
          <w:p w:rsidR="002C1010" w:rsidRDefault="00E754B4" w:rsidP="000C6C1F">
            <w:pPr>
              <w:rPr>
                <w:rFonts w:asciiTheme="minorHAnsi" w:hAnsiTheme="minorHAnsi"/>
                <w:i/>
              </w:rPr>
            </w:pPr>
            <w:r>
              <w:rPr>
                <w:rFonts w:asciiTheme="minorHAnsi" w:hAnsiTheme="minorHAnsi"/>
                <w:i/>
              </w:rPr>
              <w:t xml:space="preserve">No mandatory reserve pool. Allow point sources to pay for/develop their own reserve pools as a voluntary risk mitigation measure. </w:t>
            </w:r>
          </w:p>
          <w:p w:rsidR="002C1010" w:rsidRDefault="002C1010" w:rsidP="000C6C1F">
            <w:pPr>
              <w:rPr>
                <w:rFonts w:asciiTheme="minorHAnsi" w:hAnsiTheme="minorHAnsi"/>
                <w:i/>
              </w:rPr>
            </w:pPr>
          </w:p>
          <w:p w:rsidR="002C1010" w:rsidRDefault="0000233C" w:rsidP="000C6C1F">
            <w:pPr>
              <w:rPr>
                <w:rFonts w:asciiTheme="minorHAnsi" w:hAnsiTheme="minorHAnsi"/>
                <w:b/>
              </w:rPr>
            </w:pPr>
            <w:r>
              <w:rPr>
                <w:rFonts w:asciiTheme="minorHAnsi" w:hAnsiTheme="minorHAnsi"/>
                <w:b/>
              </w:rPr>
              <w:t>Pros and Cons</w:t>
            </w:r>
          </w:p>
          <w:p w:rsidR="005F29F8" w:rsidRDefault="002C1010" w:rsidP="0040059B">
            <w:pPr>
              <w:spacing w:after="120"/>
              <w:rPr>
                <w:b/>
              </w:rPr>
            </w:pPr>
            <w:r>
              <w:t>If a trading program or a specific NPDES permittee would like to have a reserve pool, they may use an</w:t>
            </w:r>
            <w:r w:rsidR="00010DA6">
              <w:t xml:space="preserve"> </w:t>
            </w:r>
            <w:r>
              <w:lastRenderedPageBreak/>
              <w:t>additional ratio or keep an additional balance of credits voluntarily. This option provides flexibility, but is not likely to build a large reserve if permittees have a long window to remedy failed credit projects</w:t>
            </w:r>
            <w:r w:rsidR="00EF7C16">
              <w:t>, and therefore little incentive to contribute to the reserve</w:t>
            </w:r>
            <w:r>
              <w:t>. Where projects take time to mature (e.g. riparian buffers for shade) remedying failed projects will not have the same environmental benefit as relying upon projects that are already in place through a reserve pool.</w:t>
            </w:r>
          </w:p>
        </w:tc>
      </w:tr>
    </w:tbl>
    <w:p w:rsidR="00FE3AC9" w:rsidRPr="00934CE4" w:rsidRDefault="00FE3AC9" w:rsidP="00FE3AC9">
      <w:pPr>
        <w:pStyle w:val="Default"/>
        <w:rPr>
          <w:rFonts w:asciiTheme="minorHAnsi" w:hAnsiTheme="minorHAnsi"/>
        </w:rPr>
      </w:pPr>
    </w:p>
    <w:p w:rsidR="000D0A2B" w:rsidRDefault="00494CBB">
      <w:pPr>
        <w:pStyle w:val="Default"/>
        <w:rPr>
          <w:rFonts w:asciiTheme="minorHAnsi" w:hAnsiTheme="minorHAnsi"/>
          <w:b/>
        </w:rPr>
      </w:pPr>
      <w:r>
        <w:rPr>
          <w:rFonts w:asciiTheme="minorHAnsi" w:hAnsiTheme="minorHAnsi"/>
          <w:b/>
        </w:rPr>
        <w:t xml:space="preserve">II. </w:t>
      </w:r>
      <w:r w:rsidR="00B679E1" w:rsidRPr="00494CBB">
        <w:rPr>
          <w:rFonts w:asciiTheme="minorHAnsi" w:hAnsiTheme="minorHAnsi"/>
          <w:b/>
        </w:rPr>
        <w:t>Recommended default</w:t>
      </w:r>
      <w:r w:rsidR="00B87815">
        <w:rPr>
          <w:rFonts w:asciiTheme="minorHAnsi" w:hAnsiTheme="minorHAnsi"/>
          <w:b/>
        </w:rPr>
        <w:t xml:space="preserve">: </w:t>
      </w:r>
      <w:r w:rsidR="00E754B4" w:rsidRPr="00E754B4">
        <w:rPr>
          <w:rFonts w:asciiTheme="minorHAnsi" w:hAnsiTheme="minorHAnsi"/>
        </w:rPr>
        <w:t>Option A - b</w:t>
      </w:r>
      <w:r w:rsidR="000C6C1F" w:rsidRPr="00E754B4">
        <w:rPr>
          <w:rFonts w:asciiTheme="minorHAnsi" w:hAnsiTheme="minorHAnsi"/>
        </w:rPr>
        <w:t>uild</w:t>
      </w:r>
      <w:r w:rsidR="000C6C1F">
        <w:rPr>
          <w:rFonts w:asciiTheme="minorHAnsi" w:hAnsiTheme="minorHAnsi"/>
        </w:rPr>
        <w:t xml:space="preserve"> a reserve/retirement ratio into every trading program. </w:t>
      </w:r>
      <w:r w:rsidR="00EF7C16">
        <w:rPr>
          <w:rFonts w:asciiTheme="minorHAnsi" w:hAnsiTheme="minorHAnsi"/>
        </w:rPr>
        <w:t>T</w:t>
      </w:r>
      <w:r w:rsidR="000C6C1F">
        <w:rPr>
          <w:rFonts w:asciiTheme="minorHAnsi" w:hAnsiTheme="minorHAnsi"/>
        </w:rPr>
        <w:t xml:space="preserve">rading programs </w:t>
      </w:r>
      <w:r w:rsidR="00EF7C16">
        <w:rPr>
          <w:rFonts w:asciiTheme="minorHAnsi" w:hAnsiTheme="minorHAnsi"/>
        </w:rPr>
        <w:t>may</w:t>
      </w:r>
      <w:r w:rsidR="000C6C1F">
        <w:rPr>
          <w:rFonts w:asciiTheme="minorHAnsi" w:hAnsiTheme="minorHAnsi"/>
        </w:rPr>
        <w:t xml:space="preserve"> treat this ratio as a retirement rati</w:t>
      </w:r>
      <w:r w:rsidR="00EF7C16">
        <w:rPr>
          <w:rFonts w:asciiTheme="minorHAnsi" w:hAnsiTheme="minorHAnsi"/>
        </w:rPr>
        <w:t>o (</w:t>
      </w:r>
      <w:r w:rsidR="000C6C1F">
        <w:rPr>
          <w:rFonts w:asciiTheme="minorHAnsi" w:hAnsiTheme="minorHAnsi"/>
        </w:rPr>
        <w:t>cancelling all credits discounted by the ratio</w:t>
      </w:r>
      <w:r w:rsidR="00EF7C16">
        <w:rPr>
          <w:rFonts w:asciiTheme="minorHAnsi" w:hAnsiTheme="minorHAnsi"/>
        </w:rPr>
        <w:t>)</w:t>
      </w:r>
      <w:r w:rsidR="000C6C1F">
        <w:rPr>
          <w:rFonts w:asciiTheme="minorHAnsi" w:hAnsiTheme="minorHAnsi"/>
        </w:rPr>
        <w:t xml:space="preserve">, or </w:t>
      </w:r>
      <w:r w:rsidR="00EF7C16">
        <w:rPr>
          <w:rFonts w:asciiTheme="minorHAnsi" w:hAnsiTheme="minorHAnsi"/>
        </w:rPr>
        <w:t xml:space="preserve">use it to </w:t>
      </w:r>
      <w:r w:rsidR="000C6C1F">
        <w:rPr>
          <w:rFonts w:asciiTheme="minorHAnsi" w:hAnsiTheme="minorHAnsi"/>
        </w:rPr>
        <w:t>popula</w:t>
      </w:r>
      <w:r w:rsidR="00EF7C16">
        <w:rPr>
          <w:rFonts w:asciiTheme="minorHAnsi" w:hAnsiTheme="minorHAnsi"/>
        </w:rPr>
        <w:t>te</w:t>
      </w:r>
      <w:r w:rsidR="000C6C1F">
        <w:rPr>
          <w:rFonts w:asciiTheme="minorHAnsi" w:hAnsiTheme="minorHAnsi"/>
        </w:rPr>
        <w:t xml:space="preserve"> a reserve account. </w:t>
      </w:r>
      <w:r w:rsidR="00F20008">
        <w:rPr>
          <w:rFonts w:asciiTheme="minorHAnsi" w:hAnsiTheme="minorHAnsi"/>
        </w:rPr>
        <w:t xml:space="preserve">If a reserve account is created, there need to be rules and oversight controlling use of that reserve account and who administers the account. </w:t>
      </w:r>
      <w:r w:rsidR="000C6C1F">
        <w:rPr>
          <w:rFonts w:asciiTheme="minorHAnsi" w:hAnsiTheme="minorHAnsi"/>
        </w:rPr>
        <w:t xml:space="preserve">Those rules need to include provisions for projects failing because it is the fault of the project developer and failure because of force majeure events, such as floods, fire, and drought. </w:t>
      </w:r>
      <w:r w:rsidR="0045547F">
        <w:rPr>
          <w:rFonts w:asciiTheme="minorHAnsi" w:hAnsiTheme="minorHAnsi"/>
        </w:rPr>
        <w:t>Reserve credits should only be accessed by projects within the same trading area.</w:t>
      </w:r>
    </w:p>
    <w:p w:rsidR="00FE3AC9" w:rsidRDefault="00FE3AC9" w:rsidP="00FE3AC9">
      <w:pPr>
        <w:pStyle w:val="Default"/>
        <w:rPr>
          <w:rFonts w:asciiTheme="minorHAnsi" w:hAnsiTheme="minorHAnsi"/>
        </w:rPr>
      </w:pPr>
    </w:p>
    <w:p w:rsidR="008216FB" w:rsidRDefault="00494CBB">
      <w:pPr>
        <w:pStyle w:val="Default"/>
      </w:pPr>
      <w:r>
        <w:rPr>
          <w:rFonts w:asciiTheme="minorHAnsi" w:hAnsiTheme="minorHAnsi"/>
          <w:b/>
        </w:rPr>
        <w:t xml:space="preserve">III. </w:t>
      </w:r>
      <w:r w:rsidR="00B679E1" w:rsidRPr="00494CBB">
        <w:rPr>
          <w:rFonts w:asciiTheme="minorHAnsi" w:hAnsiTheme="minorHAnsi"/>
          <w:b/>
        </w:rPr>
        <w:t>Reasons to deviate from the default</w:t>
      </w:r>
      <w:r w:rsidR="00B87815">
        <w:rPr>
          <w:rFonts w:asciiTheme="minorHAnsi" w:hAnsiTheme="minorHAnsi"/>
          <w:b/>
        </w:rPr>
        <w:t xml:space="preserve">: </w:t>
      </w:r>
      <w:r w:rsidR="00FE3AC9">
        <w:rPr>
          <w:rFonts w:asciiTheme="minorHAnsi" w:hAnsiTheme="minorHAnsi"/>
        </w:rPr>
        <w:t xml:space="preserve">There may be instances where states </w:t>
      </w:r>
      <w:r w:rsidR="000C6C1F">
        <w:rPr>
          <w:rFonts w:asciiTheme="minorHAnsi" w:hAnsiTheme="minorHAnsi"/>
        </w:rPr>
        <w:t>choose not to include a reserve/retirement ratio.</w:t>
      </w:r>
    </w:p>
    <w:p w:rsidR="00FE3AC9" w:rsidRPr="00073E94" w:rsidRDefault="00E97456" w:rsidP="00073E94">
      <w:pPr>
        <w:pStyle w:val="Heading2"/>
        <w:rPr>
          <w:b/>
        </w:rPr>
      </w:pPr>
      <w:bookmarkStart w:id="3" w:name="_Toc230884241"/>
      <w:r w:rsidRPr="00073E94">
        <w:rPr>
          <w:b/>
        </w:rPr>
        <w:t>2</w:t>
      </w:r>
      <w:r w:rsidR="00FE3AC9" w:rsidRPr="00073E94">
        <w:rPr>
          <w:b/>
        </w:rPr>
        <w:t xml:space="preserve">.3 </w:t>
      </w:r>
      <w:r w:rsidR="00811E71">
        <w:rPr>
          <w:b/>
        </w:rPr>
        <w:t>Regulatory b</w:t>
      </w:r>
      <w:r w:rsidR="005771F7" w:rsidRPr="00073E94">
        <w:rPr>
          <w:b/>
        </w:rPr>
        <w:t>aseline</w:t>
      </w:r>
      <w:r w:rsidRPr="00073E94">
        <w:rPr>
          <w:b/>
        </w:rPr>
        <w:t xml:space="preserve"> and 2.4. Additionality</w:t>
      </w:r>
      <w:bookmarkEnd w:id="3"/>
    </w:p>
    <w:p w:rsidR="00E97456" w:rsidRDefault="00AF445B" w:rsidP="00CD0A95">
      <w:pPr>
        <w:pStyle w:val="Default"/>
        <w:spacing w:before="120" w:after="120"/>
        <w:rPr>
          <w:rFonts w:asciiTheme="minorHAnsi" w:hAnsiTheme="minorHAnsi" w:cs="Arial"/>
          <w:bCs/>
        </w:rPr>
      </w:pPr>
      <w:r>
        <w:rPr>
          <w:rFonts w:asciiTheme="minorHAnsi" w:hAnsiTheme="minorHAnsi" w:cs="Arial"/>
          <w:bCs/>
        </w:rPr>
        <w:t>A</w:t>
      </w:r>
      <w:r w:rsidR="00E97456">
        <w:rPr>
          <w:rFonts w:asciiTheme="minorHAnsi" w:hAnsiTheme="minorHAnsi" w:cs="Arial"/>
          <w:bCs/>
        </w:rPr>
        <w:t>ll credit-producing activities must be “additional</w:t>
      </w:r>
      <w:r>
        <w:rPr>
          <w:rFonts w:asciiTheme="minorHAnsi" w:hAnsiTheme="minorHAnsi" w:cs="Arial"/>
          <w:bCs/>
        </w:rPr>
        <w:t>,</w:t>
      </w:r>
      <w:r w:rsidR="00E97456">
        <w:rPr>
          <w:rFonts w:asciiTheme="minorHAnsi" w:hAnsiTheme="minorHAnsi" w:cs="Arial"/>
          <w:bCs/>
        </w:rPr>
        <w:t>”</w:t>
      </w:r>
      <w:r>
        <w:rPr>
          <w:rFonts w:asciiTheme="minorHAnsi" w:hAnsiTheme="minorHAnsi"/>
        </w:rPr>
        <w:t xml:space="preserve"> which means </w:t>
      </w:r>
      <w:r w:rsidR="001C0568">
        <w:rPr>
          <w:rFonts w:asciiTheme="minorHAnsi" w:hAnsiTheme="minorHAnsi" w:cs="Arial"/>
          <w:bCs/>
        </w:rPr>
        <w:t>they are</w:t>
      </w:r>
      <w:r w:rsidR="00FD4929">
        <w:rPr>
          <w:rFonts w:asciiTheme="minorHAnsi" w:hAnsiTheme="minorHAnsi" w:cs="Arial"/>
          <w:bCs/>
        </w:rPr>
        <w:t xml:space="preserve"> </w:t>
      </w:r>
      <w:r w:rsidR="00E97456">
        <w:rPr>
          <w:rFonts w:asciiTheme="minorHAnsi" w:hAnsiTheme="minorHAnsi" w:cs="Arial"/>
          <w:bCs/>
        </w:rPr>
        <w:t>above and beyond what is otherwise required or would have happened without trading. For water quality trading</w:t>
      </w:r>
      <w:r w:rsidR="00DD3527">
        <w:rPr>
          <w:rFonts w:asciiTheme="minorHAnsi" w:hAnsiTheme="minorHAnsi" w:cs="Arial"/>
          <w:bCs/>
        </w:rPr>
        <w:t xml:space="preserve"> to be additional</w:t>
      </w:r>
      <w:r w:rsidR="002C70F6">
        <w:rPr>
          <w:rFonts w:asciiTheme="minorHAnsi" w:hAnsiTheme="minorHAnsi" w:cs="Arial"/>
          <w:bCs/>
        </w:rPr>
        <w:t xml:space="preserve"> (and for the credits generated from a nonpoint source to be eligible)</w:t>
      </w:r>
      <w:r w:rsidR="00DD3527">
        <w:rPr>
          <w:rFonts w:asciiTheme="minorHAnsi" w:hAnsiTheme="minorHAnsi" w:cs="Arial"/>
          <w:bCs/>
        </w:rPr>
        <w:t>, the nonpoint sources that provide credits must</w:t>
      </w:r>
      <w:r w:rsidR="00E97456">
        <w:rPr>
          <w:rFonts w:asciiTheme="minorHAnsi" w:hAnsiTheme="minorHAnsi" w:cs="Arial"/>
          <w:bCs/>
        </w:rPr>
        <w:t xml:space="preserve"> </w:t>
      </w:r>
      <w:r w:rsidR="00DD3527">
        <w:rPr>
          <w:rFonts w:asciiTheme="minorHAnsi" w:hAnsiTheme="minorHAnsi" w:cs="Arial"/>
          <w:bCs/>
        </w:rPr>
        <w:t xml:space="preserve">first meet </w:t>
      </w:r>
      <w:r w:rsidR="002C70F6">
        <w:rPr>
          <w:rFonts w:asciiTheme="minorHAnsi" w:hAnsiTheme="minorHAnsi" w:cs="Arial"/>
          <w:bCs/>
        </w:rPr>
        <w:t>any</w:t>
      </w:r>
      <w:r w:rsidR="00E97456">
        <w:rPr>
          <w:rFonts w:asciiTheme="minorHAnsi" w:hAnsiTheme="minorHAnsi" w:cs="Arial"/>
          <w:bCs/>
        </w:rPr>
        <w:t xml:space="preserve"> obligations </w:t>
      </w:r>
      <w:r w:rsidR="002C70F6">
        <w:rPr>
          <w:rFonts w:asciiTheme="minorHAnsi" w:hAnsiTheme="minorHAnsi" w:cs="Arial"/>
          <w:bCs/>
        </w:rPr>
        <w:t xml:space="preserve">they </w:t>
      </w:r>
      <w:r w:rsidR="00E97456">
        <w:rPr>
          <w:rFonts w:asciiTheme="minorHAnsi" w:hAnsiTheme="minorHAnsi" w:cs="Arial"/>
          <w:bCs/>
        </w:rPr>
        <w:t>have to reduce pollution</w:t>
      </w:r>
      <w:r w:rsidR="00EF7C16">
        <w:rPr>
          <w:rFonts w:asciiTheme="minorHAnsi" w:hAnsiTheme="minorHAnsi" w:cs="Arial"/>
          <w:bCs/>
        </w:rPr>
        <w:t>, also known as the “regulatory baseline</w:t>
      </w:r>
      <w:r w:rsidR="00E97456">
        <w:rPr>
          <w:rFonts w:asciiTheme="minorHAnsi" w:hAnsiTheme="minorHAnsi" w:cs="Arial"/>
          <w:bCs/>
        </w:rPr>
        <w:t>.</w:t>
      </w:r>
      <w:r w:rsidR="00EF7C16">
        <w:rPr>
          <w:rFonts w:asciiTheme="minorHAnsi" w:hAnsiTheme="minorHAnsi" w:cs="Arial"/>
          <w:bCs/>
        </w:rPr>
        <w:t>”</w:t>
      </w:r>
      <w:r w:rsidR="00E97456">
        <w:rPr>
          <w:rFonts w:asciiTheme="minorHAnsi" w:hAnsiTheme="minorHAnsi" w:cs="Arial"/>
          <w:bCs/>
        </w:rPr>
        <w:t xml:space="preserve"> Setting these baselines is often one of the hardest parts of building a trading program</w:t>
      </w:r>
      <w:r w:rsidR="00EF7C16">
        <w:rPr>
          <w:rFonts w:asciiTheme="minorHAnsi" w:hAnsiTheme="minorHAnsi" w:cs="Arial"/>
          <w:bCs/>
        </w:rPr>
        <w:t>, and is the focus of this section</w:t>
      </w:r>
      <w:r w:rsidR="00E97456">
        <w:rPr>
          <w:rFonts w:asciiTheme="minorHAnsi" w:hAnsiTheme="minorHAnsi" w:cs="Arial"/>
          <w:bCs/>
        </w:rPr>
        <w:t xml:space="preserve">. </w:t>
      </w:r>
      <w:r w:rsidR="00EF7C16">
        <w:rPr>
          <w:rFonts w:asciiTheme="minorHAnsi" w:hAnsiTheme="minorHAnsi" w:cs="Arial"/>
          <w:bCs/>
        </w:rPr>
        <w:t xml:space="preserve">Other eligibility requirements used to </w:t>
      </w:r>
      <w:r w:rsidR="00E97456">
        <w:rPr>
          <w:rFonts w:asciiTheme="minorHAnsi" w:hAnsiTheme="minorHAnsi" w:cs="Arial"/>
          <w:bCs/>
        </w:rPr>
        <w:t>meet additionality standards for generating credits</w:t>
      </w:r>
      <w:r w:rsidR="00EF7C16">
        <w:rPr>
          <w:rFonts w:asciiTheme="minorHAnsi" w:hAnsiTheme="minorHAnsi" w:cs="Arial"/>
          <w:bCs/>
        </w:rPr>
        <w:t xml:space="preserve"> are discussed in the Discussion Guide for Section 4</w:t>
      </w:r>
      <w:r w:rsidR="00E97456">
        <w:rPr>
          <w:rFonts w:asciiTheme="minorHAnsi" w:hAnsiTheme="minorHAnsi" w:cs="Arial"/>
          <w:bCs/>
        </w:rPr>
        <w:t xml:space="preserve">. </w:t>
      </w:r>
    </w:p>
    <w:p w:rsidR="00E97456" w:rsidRDefault="002C70F6" w:rsidP="00CD0A95">
      <w:pPr>
        <w:pStyle w:val="Default"/>
        <w:spacing w:before="120" w:after="120"/>
        <w:rPr>
          <w:rFonts w:asciiTheme="minorHAnsi" w:hAnsiTheme="minorHAnsi" w:cs="Arial"/>
          <w:bCs/>
        </w:rPr>
      </w:pPr>
      <w:r>
        <w:rPr>
          <w:rFonts w:asciiTheme="minorHAnsi" w:hAnsiTheme="minorHAnsi" w:cs="Arial"/>
          <w:bCs/>
        </w:rPr>
        <w:t>Regulatory b</w:t>
      </w:r>
      <w:r w:rsidR="00E97456">
        <w:rPr>
          <w:rFonts w:asciiTheme="minorHAnsi" w:hAnsiTheme="minorHAnsi" w:cs="Arial"/>
          <w:bCs/>
        </w:rPr>
        <w:t>aseline requirements are drawn from</w:t>
      </w:r>
      <w:r w:rsidR="00FD4929">
        <w:rPr>
          <w:rFonts w:asciiTheme="minorHAnsi" w:hAnsiTheme="minorHAnsi" w:cs="Arial"/>
          <w:bCs/>
        </w:rPr>
        <w:t xml:space="preserve"> state and local laws, regulations and</w:t>
      </w:r>
      <w:r w:rsidR="00E97456">
        <w:rPr>
          <w:rFonts w:asciiTheme="minorHAnsi" w:hAnsiTheme="minorHAnsi" w:cs="Arial"/>
          <w:bCs/>
        </w:rPr>
        <w:t xml:space="preserve"> policies, and </w:t>
      </w:r>
      <w:r w:rsidR="00FD4929">
        <w:rPr>
          <w:rFonts w:asciiTheme="minorHAnsi" w:hAnsiTheme="minorHAnsi" w:cs="Arial"/>
          <w:bCs/>
        </w:rPr>
        <w:t>TMDLs</w:t>
      </w:r>
      <w:r w:rsidR="00E97456">
        <w:rPr>
          <w:rFonts w:asciiTheme="minorHAnsi" w:hAnsiTheme="minorHAnsi" w:cs="Arial"/>
          <w:bCs/>
        </w:rPr>
        <w:t>. This memo discusses several aspects of how to set and express regulatory baseline</w:t>
      </w:r>
      <w:r w:rsidR="00EF7C16">
        <w:rPr>
          <w:rFonts w:asciiTheme="minorHAnsi" w:hAnsiTheme="minorHAnsi" w:cs="Arial"/>
          <w:bCs/>
        </w:rPr>
        <w:t>s for trading, and how baseline related to achieving water quality goals, including</w:t>
      </w:r>
      <w:r w:rsidR="00E97456">
        <w:rPr>
          <w:rFonts w:asciiTheme="minorHAnsi" w:hAnsiTheme="minorHAnsi" w:cs="Arial"/>
          <w:bCs/>
        </w:rPr>
        <w:t>:</w:t>
      </w:r>
    </w:p>
    <w:p w:rsidR="000D0A2B" w:rsidRDefault="00E97456">
      <w:pPr>
        <w:pStyle w:val="Default"/>
        <w:numPr>
          <w:ilvl w:val="0"/>
          <w:numId w:val="1"/>
        </w:numPr>
        <w:rPr>
          <w:rFonts w:asciiTheme="minorHAnsi" w:hAnsiTheme="minorHAnsi" w:cs="Arial"/>
          <w:bCs/>
        </w:rPr>
      </w:pPr>
      <w:r>
        <w:rPr>
          <w:rFonts w:asciiTheme="minorHAnsi" w:hAnsiTheme="minorHAnsi" w:cs="Arial"/>
          <w:bCs/>
        </w:rPr>
        <w:t xml:space="preserve">How are Load Allocations </w:t>
      </w:r>
      <w:r w:rsidR="00AF445B">
        <w:rPr>
          <w:rFonts w:asciiTheme="minorHAnsi" w:hAnsiTheme="minorHAnsi" w:cs="Arial"/>
          <w:bCs/>
        </w:rPr>
        <w:t>(LA</w:t>
      </w:r>
      <w:r w:rsidR="00C014D6">
        <w:rPr>
          <w:rFonts w:asciiTheme="minorHAnsi" w:hAnsiTheme="minorHAnsi" w:cs="Arial"/>
          <w:bCs/>
        </w:rPr>
        <w:t>s</w:t>
      </w:r>
      <w:r w:rsidR="00AF445B">
        <w:rPr>
          <w:rFonts w:asciiTheme="minorHAnsi" w:hAnsiTheme="minorHAnsi" w:cs="Arial"/>
          <w:bCs/>
        </w:rPr>
        <w:t>)</w:t>
      </w:r>
      <w:r>
        <w:rPr>
          <w:rFonts w:asciiTheme="minorHAnsi" w:hAnsiTheme="minorHAnsi" w:cs="Arial"/>
          <w:bCs/>
        </w:rPr>
        <w:t xml:space="preserve"> modeled and completed</w:t>
      </w:r>
      <w:r w:rsidR="00C014D6">
        <w:rPr>
          <w:rFonts w:asciiTheme="minorHAnsi" w:hAnsiTheme="minorHAnsi" w:cs="Arial"/>
          <w:bCs/>
        </w:rPr>
        <w:t>?</w:t>
      </w:r>
    </w:p>
    <w:p w:rsidR="000D0A2B" w:rsidRDefault="00C014D6">
      <w:pPr>
        <w:pStyle w:val="Default"/>
        <w:numPr>
          <w:ilvl w:val="0"/>
          <w:numId w:val="1"/>
        </w:numPr>
        <w:rPr>
          <w:rFonts w:asciiTheme="minorHAnsi" w:hAnsiTheme="minorHAnsi" w:cs="Arial"/>
          <w:bCs/>
        </w:rPr>
      </w:pPr>
      <w:r>
        <w:rPr>
          <w:rFonts w:asciiTheme="minorHAnsi" w:hAnsiTheme="minorHAnsi" w:cs="Arial"/>
          <w:bCs/>
        </w:rPr>
        <w:t>H</w:t>
      </w:r>
      <w:r w:rsidR="00AF445B">
        <w:rPr>
          <w:rFonts w:asciiTheme="minorHAnsi" w:hAnsiTheme="minorHAnsi" w:cs="Arial"/>
          <w:bCs/>
        </w:rPr>
        <w:t xml:space="preserve">ow </w:t>
      </w:r>
      <w:r>
        <w:rPr>
          <w:rFonts w:asciiTheme="minorHAnsi" w:hAnsiTheme="minorHAnsi" w:cs="Arial"/>
          <w:bCs/>
        </w:rPr>
        <w:t xml:space="preserve">do load allocations </w:t>
      </w:r>
      <w:r w:rsidR="00AF445B">
        <w:rPr>
          <w:rFonts w:asciiTheme="minorHAnsi" w:hAnsiTheme="minorHAnsi" w:cs="Arial"/>
          <w:bCs/>
        </w:rPr>
        <w:t xml:space="preserve">relate to </w:t>
      </w:r>
      <w:r w:rsidR="00E97456">
        <w:rPr>
          <w:rFonts w:asciiTheme="minorHAnsi" w:hAnsiTheme="minorHAnsi" w:cs="Arial"/>
          <w:bCs/>
        </w:rPr>
        <w:t>baseline requirements for trading?</w:t>
      </w:r>
    </w:p>
    <w:p w:rsidR="000D0A2B" w:rsidRDefault="00E97456">
      <w:pPr>
        <w:pStyle w:val="Default"/>
        <w:numPr>
          <w:ilvl w:val="0"/>
          <w:numId w:val="1"/>
        </w:numPr>
        <w:rPr>
          <w:rFonts w:asciiTheme="minorHAnsi" w:hAnsiTheme="minorHAnsi" w:cs="Arial"/>
          <w:bCs/>
        </w:rPr>
      </w:pPr>
      <w:r>
        <w:rPr>
          <w:rFonts w:asciiTheme="minorHAnsi" w:hAnsiTheme="minorHAnsi" w:cs="Arial"/>
          <w:bCs/>
        </w:rPr>
        <w:t xml:space="preserve">How are a TMDL’s reasonable assurances defined for meeting </w:t>
      </w:r>
      <w:r w:rsidR="00010DA6">
        <w:rPr>
          <w:rFonts w:asciiTheme="minorHAnsi" w:hAnsiTheme="minorHAnsi" w:cs="Arial"/>
          <w:bCs/>
        </w:rPr>
        <w:t xml:space="preserve">LA </w:t>
      </w:r>
      <w:r>
        <w:rPr>
          <w:rFonts w:asciiTheme="minorHAnsi" w:hAnsiTheme="minorHAnsi" w:cs="Arial"/>
          <w:bCs/>
        </w:rPr>
        <w:t>goals?</w:t>
      </w:r>
    </w:p>
    <w:p w:rsidR="000D0A2B" w:rsidRDefault="00541476">
      <w:pPr>
        <w:pStyle w:val="Default"/>
        <w:numPr>
          <w:ilvl w:val="0"/>
          <w:numId w:val="1"/>
        </w:numPr>
        <w:rPr>
          <w:rFonts w:asciiTheme="minorHAnsi" w:hAnsiTheme="minorHAnsi" w:cs="Arial"/>
          <w:bCs/>
        </w:rPr>
      </w:pPr>
      <w:r>
        <w:rPr>
          <w:rFonts w:asciiTheme="minorHAnsi" w:hAnsiTheme="minorHAnsi" w:cs="Arial"/>
          <w:bCs/>
        </w:rPr>
        <w:t>How do existing state laws and policies shape baseline requirements beyond what is in a TMDL?</w:t>
      </w:r>
    </w:p>
    <w:p w:rsidR="000D0A2B" w:rsidRDefault="00E97456">
      <w:pPr>
        <w:pStyle w:val="Default"/>
        <w:numPr>
          <w:ilvl w:val="0"/>
          <w:numId w:val="1"/>
        </w:numPr>
        <w:rPr>
          <w:rFonts w:asciiTheme="minorHAnsi" w:hAnsiTheme="minorHAnsi" w:cs="Arial"/>
          <w:bCs/>
        </w:rPr>
      </w:pPr>
      <w:r>
        <w:rPr>
          <w:rFonts w:asciiTheme="minorHAnsi" w:hAnsiTheme="minorHAnsi" w:cs="Arial"/>
          <w:bCs/>
        </w:rPr>
        <w:t>How is a baseline requirement expressed in trading program? And at what scale?</w:t>
      </w:r>
    </w:p>
    <w:p w:rsidR="000D0A2B" w:rsidRDefault="009F76C4">
      <w:pPr>
        <w:pStyle w:val="Default"/>
        <w:numPr>
          <w:ilvl w:val="0"/>
          <w:numId w:val="1"/>
        </w:numPr>
        <w:rPr>
          <w:rFonts w:asciiTheme="minorHAnsi" w:hAnsiTheme="minorHAnsi" w:cs="Arial"/>
          <w:bCs/>
        </w:rPr>
      </w:pPr>
      <w:r>
        <w:rPr>
          <w:rFonts w:asciiTheme="minorHAnsi" w:hAnsiTheme="minorHAnsi" w:cs="Arial"/>
          <w:bCs/>
        </w:rPr>
        <w:t>What is business as usual</w:t>
      </w:r>
      <w:r w:rsidR="00FD4929">
        <w:rPr>
          <w:rFonts w:asciiTheme="minorHAnsi" w:hAnsiTheme="minorHAnsi" w:cs="Arial"/>
          <w:bCs/>
        </w:rPr>
        <w:t xml:space="preserve"> at individual project sites</w:t>
      </w:r>
      <w:r>
        <w:rPr>
          <w:rFonts w:asciiTheme="minorHAnsi" w:hAnsiTheme="minorHAnsi" w:cs="Arial"/>
          <w:bCs/>
        </w:rPr>
        <w:t>?</w:t>
      </w:r>
    </w:p>
    <w:p w:rsidR="00C014D6" w:rsidRDefault="00C014D6" w:rsidP="00C014D6">
      <w:pPr>
        <w:pStyle w:val="Default"/>
        <w:spacing w:before="120" w:after="120"/>
        <w:rPr>
          <w:rFonts w:asciiTheme="minorHAnsi" w:hAnsiTheme="minorHAnsi" w:cs="Arial"/>
          <w:bCs/>
        </w:rPr>
      </w:pPr>
      <w:r>
        <w:rPr>
          <w:rFonts w:asciiTheme="minorHAnsi" w:hAnsiTheme="minorHAnsi" w:cs="Arial"/>
          <w:bCs/>
        </w:rPr>
        <w:t>In an effort to help the agencies address these questions, W</w:t>
      </w:r>
      <w:r w:rsidR="00010DA6">
        <w:rPr>
          <w:rFonts w:asciiTheme="minorHAnsi" w:hAnsiTheme="minorHAnsi" w:cs="Arial"/>
          <w:bCs/>
        </w:rPr>
        <w:t xml:space="preserve">illamette </w:t>
      </w:r>
      <w:r>
        <w:rPr>
          <w:rFonts w:asciiTheme="minorHAnsi" w:hAnsiTheme="minorHAnsi" w:cs="Arial"/>
          <w:bCs/>
        </w:rPr>
        <w:t>P</w:t>
      </w:r>
      <w:r w:rsidR="00010DA6">
        <w:rPr>
          <w:rFonts w:asciiTheme="minorHAnsi" w:hAnsiTheme="minorHAnsi" w:cs="Arial"/>
          <w:bCs/>
        </w:rPr>
        <w:t>artnership (WP)</w:t>
      </w:r>
      <w:r>
        <w:rPr>
          <w:rFonts w:asciiTheme="minorHAnsi" w:hAnsiTheme="minorHAnsi" w:cs="Arial"/>
          <w:bCs/>
        </w:rPr>
        <w:t xml:space="preserve"> and </w:t>
      </w:r>
      <w:r w:rsidR="00010DA6">
        <w:rPr>
          <w:rFonts w:asciiTheme="minorHAnsi" w:hAnsiTheme="minorHAnsi" w:cs="Arial"/>
          <w:bCs/>
        </w:rPr>
        <w:t>The Freshwater Trust (</w:t>
      </w:r>
      <w:r>
        <w:rPr>
          <w:rFonts w:asciiTheme="minorHAnsi" w:hAnsiTheme="minorHAnsi" w:cs="Arial"/>
          <w:bCs/>
        </w:rPr>
        <w:t>TFT</w:t>
      </w:r>
      <w:r w:rsidR="00010DA6">
        <w:rPr>
          <w:rFonts w:asciiTheme="minorHAnsi" w:hAnsiTheme="minorHAnsi" w:cs="Arial"/>
          <w:bCs/>
        </w:rPr>
        <w:t>)</w:t>
      </w:r>
      <w:r>
        <w:rPr>
          <w:rFonts w:asciiTheme="minorHAnsi" w:hAnsiTheme="minorHAnsi" w:cs="Arial"/>
          <w:bCs/>
        </w:rPr>
        <w:t xml:space="preserve"> reviewed the following temperature, nutrient, and sediment TMDLs in Idaho, Oregon, and Washington:</w:t>
      </w:r>
    </w:p>
    <w:p w:rsidR="00C014D6" w:rsidRDefault="00C014D6" w:rsidP="00C014D6">
      <w:pPr>
        <w:pStyle w:val="Default"/>
        <w:numPr>
          <w:ilvl w:val="0"/>
          <w:numId w:val="4"/>
        </w:numPr>
        <w:rPr>
          <w:rFonts w:asciiTheme="minorHAnsi" w:hAnsiTheme="minorHAnsi" w:cs="Arial"/>
          <w:bCs/>
        </w:rPr>
      </w:pPr>
      <w:r w:rsidRPr="00C014D6">
        <w:rPr>
          <w:rFonts w:asciiTheme="minorHAnsi" w:hAnsiTheme="minorHAnsi" w:cs="Arial"/>
          <w:bCs/>
          <w:i/>
        </w:rPr>
        <w:t>Temperature</w:t>
      </w:r>
      <w:r>
        <w:rPr>
          <w:rFonts w:asciiTheme="minorHAnsi" w:hAnsiTheme="minorHAnsi" w:cs="Arial"/>
          <w:bCs/>
        </w:rPr>
        <w:t>: Idaho (South Fork Clearwater); Oregon (Rogue Basin); Washington (Snoqualmie)</w:t>
      </w:r>
    </w:p>
    <w:p w:rsidR="00C014D6" w:rsidRDefault="00C014D6" w:rsidP="00C014D6">
      <w:pPr>
        <w:pStyle w:val="Default"/>
        <w:numPr>
          <w:ilvl w:val="0"/>
          <w:numId w:val="4"/>
        </w:numPr>
        <w:rPr>
          <w:rFonts w:asciiTheme="minorHAnsi" w:hAnsiTheme="minorHAnsi" w:cs="Arial"/>
          <w:bCs/>
        </w:rPr>
      </w:pPr>
      <w:r w:rsidRPr="00C014D6">
        <w:rPr>
          <w:rFonts w:asciiTheme="minorHAnsi" w:hAnsiTheme="minorHAnsi" w:cs="Arial"/>
          <w:bCs/>
          <w:i/>
        </w:rPr>
        <w:t>Nutrients</w:t>
      </w:r>
      <w:r>
        <w:rPr>
          <w:rFonts w:asciiTheme="minorHAnsi" w:hAnsiTheme="minorHAnsi" w:cs="Arial"/>
          <w:bCs/>
        </w:rPr>
        <w:t xml:space="preserve">: Idaho (Mid Snake); Washington (Spokane); California (Upper Yakima) </w:t>
      </w:r>
    </w:p>
    <w:p w:rsidR="00C014D6" w:rsidRDefault="00C014D6" w:rsidP="00C014D6">
      <w:pPr>
        <w:pStyle w:val="Default"/>
        <w:numPr>
          <w:ilvl w:val="0"/>
          <w:numId w:val="4"/>
        </w:numPr>
        <w:rPr>
          <w:rFonts w:asciiTheme="minorHAnsi" w:hAnsiTheme="minorHAnsi" w:cs="Arial"/>
          <w:bCs/>
        </w:rPr>
      </w:pPr>
      <w:r w:rsidRPr="00C014D6">
        <w:rPr>
          <w:rFonts w:asciiTheme="minorHAnsi" w:hAnsiTheme="minorHAnsi" w:cs="Arial"/>
          <w:bCs/>
          <w:i/>
        </w:rPr>
        <w:t>Sediment</w:t>
      </w:r>
      <w:r>
        <w:rPr>
          <w:rFonts w:asciiTheme="minorHAnsi" w:hAnsiTheme="minorHAnsi" w:cs="Arial"/>
          <w:bCs/>
        </w:rPr>
        <w:t>: Idaho (Lower Boise); Oregon (Bear Creek); Washington (Upper Yakima)</w:t>
      </w:r>
    </w:p>
    <w:p w:rsidR="00B24DCA" w:rsidRDefault="00C014D6" w:rsidP="000D0A2B">
      <w:pPr>
        <w:pStyle w:val="Default"/>
        <w:spacing w:before="120" w:after="120"/>
      </w:pPr>
      <w:r>
        <w:rPr>
          <w:rFonts w:asciiTheme="minorHAnsi" w:hAnsiTheme="minorHAnsi" w:cs="Arial"/>
          <w:bCs/>
        </w:rPr>
        <w:lastRenderedPageBreak/>
        <w:t xml:space="preserve">This review highlighted the variation across states and watersheds in how TMDLs address baseline and LAs, as well as a few general trends regarding implementation plans and reasonable assurances.  In each of the below sections, we have provided summaries specific to the pollutants studied as it relates to human use allowance allocation (where applicable), load allocations, reasonable assurances, and suggestions for tying all of these factors together. </w:t>
      </w:r>
    </w:p>
    <w:p w:rsidR="00E97456" w:rsidRPr="00996C39" w:rsidRDefault="00541476" w:rsidP="00DD7EC7">
      <w:pPr>
        <w:pStyle w:val="Heading3"/>
      </w:pPr>
      <w:bookmarkStart w:id="4" w:name="_Toc230884242"/>
      <w:r w:rsidRPr="00996C39">
        <w:t xml:space="preserve">2.3.1. </w:t>
      </w:r>
      <w:r w:rsidR="00E16A07">
        <w:t>Human Use Allowance</w:t>
      </w:r>
      <w:r w:rsidR="00010DA6">
        <w:t xml:space="preserve"> (HUA)</w:t>
      </w:r>
      <w:r w:rsidR="00E16A07">
        <w:t xml:space="preserve">, </w:t>
      </w:r>
      <w:r w:rsidR="00B52057">
        <w:t xml:space="preserve">and TMDL </w:t>
      </w:r>
      <w:r w:rsidR="00010DA6">
        <w:t>LAs</w:t>
      </w:r>
      <w:bookmarkEnd w:id="4"/>
      <w:r w:rsidRPr="00996C39">
        <w:t xml:space="preserve"> </w:t>
      </w:r>
      <w:r w:rsidR="00B52057">
        <w:t xml:space="preserve"> </w:t>
      </w:r>
    </w:p>
    <w:p w:rsidR="00352F7D" w:rsidRDefault="00541476" w:rsidP="00CD0A95">
      <w:pPr>
        <w:pStyle w:val="Default"/>
        <w:spacing w:before="120" w:after="120"/>
        <w:rPr>
          <w:rFonts w:asciiTheme="minorHAnsi" w:hAnsiTheme="minorHAnsi" w:cs="Arial"/>
          <w:bCs/>
        </w:rPr>
      </w:pPr>
      <w:r>
        <w:rPr>
          <w:rFonts w:asciiTheme="minorHAnsi" w:hAnsiTheme="minorHAnsi" w:cs="Arial"/>
          <w:bCs/>
        </w:rPr>
        <w:t xml:space="preserve">In each TMDL, </w:t>
      </w:r>
      <w:r w:rsidR="00FD4929">
        <w:rPr>
          <w:rFonts w:asciiTheme="minorHAnsi" w:hAnsiTheme="minorHAnsi" w:cs="Arial"/>
          <w:bCs/>
        </w:rPr>
        <w:t xml:space="preserve">regulators give </w:t>
      </w:r>
      <w:r w:rsidR="00EF7C16">
        <w:rPr>
          <w:rFonts w:asciiTheme="minorHAnsi" w:hAnsiTheme="minorHAnsi" w:cs="Arial"/>
          <w:bCs/>
        </w:rPr>
        <w:t xml:space="preserve">allocations (or small amounts of allowable pollution) to </w:t>
      </w:r>
      <w:r>
        <w:rPr>
          <w:rFonts w:asciiTheme="minorHAnsi" w:hAnsiTheme="minorHAnsi" w:cs="Arial"/>
          <w:bCs/>
        </w:rPr>
        <w:t xml:space="preserve">sources </w:t>
      </w:r>
      <w:r w:rsidR="00AF445B">
        <w:rPr>
          <w:rFonts w:asciiTheme="minorHAnsi" w:hAnsiTheme="minorHAnsi" w:cs="Arial"/>
          <w:bCs/>
        </w:rPr>
        <w:t xml:space="preserve">of the </w:t>
      </w:r>
      <w:r w:rsidR="00352F7D">
        <w:rPr>
          <w:rFonts w:asciiTheme="minorHAnsi" w:hAnsiTheme="minorHAnsi" w:cs="Arial"/>
          <w:bCs/>
        </w:rPr>
        <w:t xml:space="preserve">target </w:t>
      </w:r>
      <w:r w:rsidR="00AF445B">
        <w:rPr>
          <w:rFonts w:asciiTheme="minorHAnsi" w:hAnsiTheme="minorHAnsi" w:cs="Arial"/>
          <w:bCs/>
        </w:rPr>
        <w:t>pollutant</w:t>
      </w:r>
      <w:r w:rsidR="00EF7C16">
        <w:rPr>
          <w:rFonts w:asciiTheme="minorHAnsi" w:hAnsiTheme="minorHAnsi" w:cs="Arial"/>
          <w:bCs/>
        </w:rPr>
        <w:t>.</w:t>
      </w:r>
      <w:r w:rsidR="00AF445B">
        <w:rPr>
          <w:rFonts w:asciiTheme="minorHAnsi" w:hAnsiTheme="minorHAnsi" w:cs="Arial"/>
          <w:bCs/>
        </w:rPr>
        <w:t xml:space="preserve"> </w:t>
      </w:r>
      <w:r>
        <w:rPr>
          <w:rFonts w:asciiTheme="minorHAnsi" w:hAnsiTheme="minorHAnsi" w:cs="Arial"/>
          <w:bCs/>
        </w:rPr>
        <w:t>Point sources are given Waste Load Allocations</w:t>
      </w:r>
      <w:r w:rsidR="00FD4929">
        <w:rPr>
          <w:rFonts w:asciiTheme="minorHAnsi" w:hAnsiTheme="minorHAnsi" w:cs="Arial"/>
          <w:bCs/>
        </w:rPr>
        <w:t xml:space="preserve"> (WLAs)</w:t>
      </w:r>
      <w:r>
        <w:rPr>
          <w:rFonts w:asciiTheme="minorHAnsi" w:hAnsiTheme="minorHAnsi" w:cs="Arial"/>
          <w:bCs/>
        </w:rPr>
        <w:t xml:space="preserve"> and nonpoint sources are given </w:t>
      </w:r>
      <w:r w:rsidR="00FD4929">
        <w:rPr>
          <w:rFonts w:asciiTheme="minorHAnsi" w:hAnsiTheme="minorHAnsi" w:cs="Arial"/>
          <w:bCs/>
        </w:rPr>
        <w:t>LAs</w:t>
      </w:r>
      <w:r w:rsidR="00EF7C16">
        <w:rPr>
          <w:rFonts w:asciiTheme="minorHAnsi" w:hAnsiTheme="minorHAnsi" w:cs="Arial"/>
          <w:bCs/>
        </w:rPr>
        <w:t>.</w:t>
      </w:r>
      <w:r>
        <w:rPr>
          <w:rFonts w:asciiTheme="minorHAnsi" w:hAnsiTheme="minorHAnsi" w:cs="Arial"/>
          <w:bCs/>
        </w:rPr>
        <w:t xml:space="preserve"> </w:t>
      </w:r>
      <w:r w:rsidR="00FD4929">
        <w:rPr>
          <w:rFonts w:asciiTheme="minorHAnsi" w:hAnsiTheme="minorHAnsi" w:cs="Arial"/>
          <w:bCs/>
        </w:rPr>
        <w:t xml:space="preserve">LAs </w:t>
      </w:r>
      <w:r>
        <w:rPr>
          <w:rFonts w:asciiTheme="minorHAnsi" w:hAnsiTheme="minorHAnsi" w:cs="Arial"/>
          <w:bCs/>
        </w:rPr>
        <w:t xml:space="preserve">define the pollution targets </w:t>
      </w:r>
      <w:r w:rsidR="00352F7D">
        <w:rPr>
          <w:rFonts w:asciiTheme="minorHAnsi" w:hAnsiTheme="minorHAnsi" w:cs="Arial"/>
          <w:bCs/>
        </w:rPr>
        <w:t xml:space="preserve">that </w:t>
      </w:r>
      <w:r>
        <w:rPr>
          <w:rFonts w:asciiTheme="minorHAnsi" w:hAnsiTheme="minorHAnsi" w:cs="Arial"/>
          <w:bCs/>
        </w:rPr>
        <w:t>nonpoint sources are supposed to meet.</w:t>
      </w:r>
      <w:r w:rsidR="00926944">
        <w:rPr>
          <w:rFonts w:asciiTheme="minorHAnsi" w:hAnsiTheme="minorHAnsi" w:cs="Arial"/>
          <w:bCs/>
        </w:rPr>
        <w:t xml:space="preserve"> </w:t>
      </w:r>
      <w:r w:rsidR="00241820">
        <w:rPr>
          <w:rFonts w:asciiTheme="minorHAnsi" w:hAnsiTheme="minorHAnsi" w:cs="Arial"/>
          <w:bCs/>
        </w:rPr>
        <w:t>It is important to understand how LAs are set to understand how trades can help achieve water quality goals and how to set baseline requirements.</w:t>
      </w:r>
      <w:r w:rsidR="001121FD">
        <w:rPr>
          <w:rFonts w:asciiTheme="minorHAnsi" w:hAnsiTheme="minorHAnsi" w:cs="Arial"/>
          <w:bCs/>
        </w:rPr>
        <w:t xml:space="preserve"> L</w:t>
      </w:r>
      <w:r w:rsidR="00FD4929">
        <w:rPr>
          <w:rFonts w:asciiTheme="minorHAnsi" w:hAnsiTheme="minorHAnsi" w:cs="Arial"/>
          <w:bCs/>
        </w:rPr>
        <w:t>A</w:t>
      </w:r>
      <w:r w:rsidR="001121FD">
        <w:rPr>
          <w:rFonts w:asciiTheme="minorHAnsi" w:hAnsiTheme="minorHAnsi" w:cs="Arial"/>
          <w:bCs/>
        </w:rPr>
        <w:t xml:space="preserve">s need to be connected to a regulatory trading baseline, but there is not a clear, consistent approach </w:t>
      </w:r>
      <w:r w:rsidR="00EF7C16">
        <w:rPr>
          <w:rFonts w:asciiTheme="minorHAnsi" w:hAnsiTheme="minorHAnsi" w:cs="Arial"/>
          <w:bCs/>
        </w:rPr>
        <w:t>for</w:t>
      </w:r>
      <w:r w:rsidR="001121FD">
        <w:rPr>
          <w:rFonts w:asciiTheme="minorHAnsi" w:hAnsiTheme="minorHAnsi" w:cs="Arial"/>
          <w:bCs/>
        </w:rPr>
        <w:t xml:space="preserve"> how to do this in current trading programs around the country. </w:t>
      </w:r>
      <w:r w:rsidR="00067939">
        <w:rPr>
          <w:rFonts w:asciiTheme="minorHAnsi" w:hAnsiTheme="minorHAnsi" w:cs="Arial"/>
          <w:bCs/>
        </w:rPr>
        <w:t>The</w:t>
      </w:r>
      <w:r w:rsidR="001121FD">
        <w:rPr>
          <w:rFonts w:asciiTheme="minorHAnsi" w:hAnsiTheme="minorHAnsi" w:cs="Arial"/>
          <w:bCs/>
        </w:rPr>
        <w:t xml:space="preserve"> options below discuss ways to make those connections.</w:t>
      </w:r>
      <w:r w:rsidR="00241820">
        <w:rPr>
          <w:rFonts w:asciiTheme="minorHAnsi" w:hAnsiTheme="minorHAnsi" w:cs="Arial"/>
          <w:bCs/>
        </w:rPr>
        <w:t xml:space="preserve"> </w:t>
      </w:r>
    </w:p>
    <w:p w:rsidR="000D0A2B" w:rsidRDefault="00B679E1">
      <w:pPr>
        <w:pStyle w:val="Default"/>
        <w:numPr>
          <w:ilvl w:val="0"/>
          <w:numId w:val="3"/>
        </w:numPr>
        <w:spacing w:before="120" w:after="120"/>
        <w:rPr>
          <w:rFonts w:asciiTheme="minorHAnsi" w:hAnsiTheme="minorHAnsi" w:cs="Arial"/>
          <w:b/>
          <w:bCs/>
          <w:i/>
          <w:u w:val="single"/>
        </w:rPr>
      </w:pPr>
      <w:r w:rsidRPr="00B679E1">
        <w:rPr>
          <w:rFonts w:asciiTheme="minorHAnsi" w:hAnsiTheme="minorHAnsi" w:cs="Arial"/>
          <w:b/>
          <w:bCs/>
          <w:i/>
          <w:u w:val="single"/>
        </w:rPr>
        <w:t>Temperature</w:t>
      </w:r>
    </w:p>
    <w:p w:rsidR="000D0A2B" w:rsidRDefault="00494CBB" w:rsidP="00494CBB">
      <w:pPr>
        <w:pStyle w:val="Default"/>
        <w:spacing w:before="120" w:after="120"/>
        <w:ind w:left="360" w:firstLine="360"/>
        <w:rPr>
          <w:rFonts w:asciiTheme="minorHAnsi" w:hAnsiTheme="minorHAnsi" w:cs="Arial"/>
          <w:bCs/>
          <w:u w:val="single"/>
        </w:rPr>
      </w:pPr>
      <w:r>
        <w:rPr>
          <w:rFonts w:asciiTheme="minorHAnsi" w:hAnsiTheme="minorHAnsi" w:cs="Arial"/>
          <w:bCs/>
          <w:i/>
          <w:u w:val="single"/>
        </w:rPr>
        <w:t xml:space="preserve">A. </w:t>
      </w:r>
      <w:r w:rsidR="00010DA6">
        <w:rPr>
          <w:rFonts w:asciiTheme="minorHAnsi" w:hAnsiTheme="minorHAnsi" w:cs="Arial"/>
          <w:bCs/>
          <w:i/>
          <w:u w:val="single"/>
        </w:rPr>
        <w:t>HUA &amp; LAs</w:t>
      </w:r>
      <w:r w:rsidR="007D47F0" w:rsidRPr="00B03416">
        <w:rPr>
          <w:rFonts w:asciiTheme="minorHAnsi" w:hAnsiTheme="minorHAnsi" w:cs="Arial"/>
          <w:bCs/>
          <w:i/>
          <w:u w:val="single"/>
        </w:rPr>
        <w:t xml:space="preserve"> to Nonpoint Sources in the HUA</w:t>
      </w:r>
      <w:r w:rsidR="00B44660" w:rsidRPr="00B03416">
        <w:rPr>
          <w:rFonts w:asciiTheme="minorHAnsi" w:hAnsiTheme="minorHAnsi" w:cs="Arial"/>
          <w:bCs/>
          <w:u w:val="single"/>
        </w:rPr>
        <w:t>:</w:t>
      </w:r>
    </w:p>
    <w:p w:rsidR="00DF63C5" w:rsidRDefault="00EA0430">
      <w:pPr>
        <w:pStyle w:val="Default"/>
        <w:spacing w:before="240" w:after="120"/>
        <w:rPr>
          <w:rFonts w:asciiTheme="minorHAnsi" w:hAnsiTheme="minorHAnsi"/>
        </w:rPr>
      </w:pPr>
      <w:r>
        <w:rPr>
          <w:rFonts w:asciiTheme="minorHAnsi" w:hAnsiTheme="minorHAnsi"/>
        </w:rPr>
        <w:t xml:space="preserve">For temperature, all three states include a </w:t>
      </w:r>
      <w:r w:rsidR="00010DA6">
        <w:rPr>
          <w:rFonts w:asciiTheme="minorHAnsi" w:hAnsiTheme="minorHAnsi"/>
        </w:rPr>
        <w:t>HUA</w:t>
      </w:r>
      <w:r>
        <w:rPr>
          <w:rFonts w:asciiTheme="minorHAnsi" w:hAnsiTheme="minorHAnsi"/>
        </w:rPr>
        <w:t xml:space="preserve"> in their water quality standards.</w:t>
      </w:r>
      <w:r w:rsidR="00EF7C16">
        <w:rPr>
          <w:rFonts w:asciiTheme="minorHAnsi" w:hAnsiTheme="minorHAnsi"/>
        </w:rPr>
        <w:t xml:space="preserve"> </w:t>
      </w:r>
    </w:p>
    <w:p w:rsidR="00EF7C16" w:rsidRPr="003C41F2" w:rsidRDefault="00EF7C16" w:rsidP="00EF7C16">
      <w:pPr>
        <w:pStyle w:val="Default"/>
        <w:numPr>
          <w:ilvl w:val="0"/>
          <w:numId w:val="6"/>
        </w:numPr>
        <w:spacing w:before="240" w:after="120"/>
        <w:rPr>
          <w:rFonts w:asciiTheme="minorHAnsi" w:hAnsiTheme="minorHAnsi"/>
          <w:i/>
        </w:rPr>
      </w:pPr>
      <w:r w:rsidRPr="003C41F2">
        <w:rPr>
          <w:rFonts w:asciiTheme="minorHAnsi" w:hAnsiTheme="minorHAnsi" w:cs="Arial"/>
          <w:b/>
          <w:bCs/>
        </w:rPr>
        <w:t>Oregon Example</w:t>
      </w:r>
      <w:r w:rsidRPr="003C41F2">
        <w:rPr>
          <w:rFonts w:asciiTheme="minorHAnsi" w:hAnsiTheme="minorHAnsi" w:cs="Arial"/>
          <w:bCs/>
        </w:rPr>
        <w:t xml:space="preserve">: </w:t>
      </w:r>
      <w:r w:rsidRPr="00213371">
        <w:rPr>
          <w:rFonts w:asciiTheme="minorHAnsi" w:hAnsiTheme="minorHAnsi" w:cs="Arial"/>
          <w:bCs/>
        </w:rPr>
        <w:t>In Oregon</w:t>
      </w:r>
      <w:r w:rsidR="00F90767">
        <w:rPr>
          <w:rFonts w:asciiTheme="minorHAnsi" w:hAnsiTheme="minorHAnsi"/>
        </w:rPr>
        <w:t>,</w:t>
      </w:r>
      <w:r w:rsidRPr="00F90767">
        <w:rPr>
          <w:rFonts w:asciiTheme="minorHAnsi" w:hAnsiTheme="minorHAnsi"/>
        </w:rPr>
        <w:t xml:space="preserve"> </w:t>
      </w:r>
      <w:r w:rsidRPr="00213371">
        <w:rPr>
          <w:rFonts w:asciiTheme="minorHAnsi" w:hAnsiTheme="minorHAnsi"/>
        </w:rPr>
        <w:t>“</w:t>
      </w:r>
      <w:r w:rsidRPr="00213371">
        <w:rPr>
          <w:rFonts w:asciiTheme="minorHAnsi" w:eastAsia="Times New Roman" w:hAnsiTheme="minorHAnsi"/>
        </w:rPr>
        <w:t xml:space="preserve">[i]nsignificant additions of heat are authorized in waters that exceed the applicable temperature criteria </w:t>
      </w:r>
      <w:r w:rsidRPr="00213371">
        <w:rPr>
          <w:rFonts w:asciiTheme="minorHAnsi" w:hAnsiTheme="minorHAnsi"/>
        </w:rPr>
        <w:t>an individual point source in a temperature impaired waterbody.”</w:t>
      </w:r>
      <w:r>
        <w:rPr>
          <w:rStyle w:val="FootnoteReference"/>
          <w:rFonts w:asciiTheme="minorHAnsi" w:hAnsiTheme="minorHAnsi"/>
        </w:rPr>
        <w:footnoteReference w:id="1"/>
      </w:r>
      <w:r w:rsidRPr="00213371">
        <w:rPr>
          <w:rFonts w:asciiTheme="minorHAnsi" w:hAnsiTheme="minorHAnsi"/>
        </w:rPr>
        <w:t xml:space="preserve"> This HUA is equal to 0.3°C.  Oregon</w:t>
      </w:r>
      <w:r>
        <w:rPr>
          <w:rFonts w:asciiTheme="minorHAnsi" w:hAnsiTheme="minorHAnsi"/>
        </w:rPr>
        <w:t xml:space="preserve">’s TMDLs tend to focus on </w:t>
      </w:r>
      <w:r w:rsidRPr="00213371">
        <w:rPr>
          <w:rFonts w:asciiTheme="minorHAnsi" w:hAnsiTheme="minorHAnsi"/>
        </w:rPr>
        <w:t xml:space="preserve">cumulative impacts in the waterbody, and the HUA </w:t>
      </w:r>
      <w:r>
        <w:rPr>
          <w:rFonts w:asciiTheme="minorHAnsi" w:hAnsiTheme="minorHAnsi"/>
        </w:rPr>
        <w:t xml:space="preserve">is </w:t>
      </w:r>
      <w:r w:rsidR="00F20008">
        <w:rPr>
          <w:rFonts w:asciiTheme="minorHAnsi" w:hAnsiTheme="minorHAnsi"/>
        </w:rPr>
        <w:t xml:space="preserve">allocated </w:t>
      </w:r>
      <w:r w:rsidR="00F20008" w:rsidRPr="00213371">
        <w:rPr>
          <w:rFonts w:asciiTheme="minorHAnsi" w:hAnsiTheme="minorHAnsi"/>
        </w:rPr>
        <w:t>to</w:t>
      </w:r>
      <w:r w:rsidRPr="00213371">
        <w:rPr>
          <w:rFonts w:asciiTheme="minorHAnsi" w:hAnsiTheme="minorHAnsi"/>
        </w:rPr>
        <w:t xml:space="preserve"> meet water quality standards at a “point of maximum impact” </w:t>
      </w:r>
      <w:r>
        <w:rPr>
          <w:rFonts w:asciiTheme="minorHAnsi" w:hAnsiTheme="minorHAnsi"/>
        </w:rPr>
        <w:t xml:space="preserve">(POMI) </w:t>
      </w:r>
      <w:r w:rsidRPr="00213371">
        <w:rPr>
          <w:rFonts w:asciiTheme="minorHAnsi" w:hAnsiTheme="minorHAnsi"/>
        </w:rPr>
        <w:t>in the watershed. Oregon often divides the HUA into cumulative allocations for point sources (typically 0.2°C), nonpoint sources (typically 0.05°C), and reserve capacity for future growth (typically 0.05°C). In Oregon, all nonpoint sources above the POMI are eligible to trade.</w:t>
      </w:r>
    </w:p>
    <w:p w:rsidR="00EF7C16" w:rsidRPr="003C41F2" w:rsidRDefault="00EF7C16" w:rsidP="00EF7C16">
      <w:pPr>
        <w:pStyle w:val="ListParagraph"/>
        <w:numPr>
          <w:ilvl w:val="0"/>
          <w:numId w:val="6"/>
        </w:numPr>
        <w:rPr>
          <w:rFonts w:asciiTheme="minorHAnsi" w:hAnsiTheme="minorHAnsi"/>
          <w:b/>
          <w:i/>
          <w:sz w:val="24"/>
          <w:szCs w:val="24"/>
        </w:rPr>
      </w:pPr>
      <w:r w:rsidRPr="003C41F2">
        <w:rPr>
          <w:rFonts w:asciiTheme="minorHAnsi" w:hAnsiTheme="minorHAnsi"/>
          <w:b/>
          <w:sz w:val="24"/>
          <w:szCs w:val="24"/>
        </w:rPr>
        <w:t>Idaho &amp; Washington Examples</w:t>
      </w:r>
      <w:r w:rsidRPr="003C41F2">
        <w:rPr>
          <w:rFonts w:asciiTheme="minorHAnsi" w:hAnsiTheme="minorHAnsi"/>
          <w:sz w:val="24"/>
          <w:szCs w:val="24"/>
        </w:rPr>
        <w:t xml:space="preserve">: </w:t>
      </w:r>
      <w:r w:rsidRPr="00213371">
        <w:rPr>
          <w:rFonts w:asciiTheme="minorHAnsi" w:hAnsiTheme="minorHAnsi"/>
          <w:sz w:val="24"/>
          <w:szCs w:val="24"/>
        </w:rPr>
        <w:t>In Idaho and Washington, there is also a 0.3°C HUA.</w:t>
      </w:r>
      <w:r>
        <w:rPr>
          <w:rStyle w:val="FootnoteReference"/>
          <w:rFonts w:asciiTheme="minorHAnsi" w:hAnsiTheme="minorHAnsi"/>
          <w:sz w:val="24"/>
          <w:szCs w:val="24"/>
        </w:rPr>
        <w:footnoteReference w:id="2"/>
      </w:r>
      <w:r>
        <w:rPr>
          <w:rFonts w:asciiTheme="minorHAnsi" w:hAnsiTheme="minorHAnsi"/>
          <w:sz w:val="24"/>
          <w:szCs w:val="24"/>
        </w:rPr>
        <w:t xml:space="preserve"> </w:t>
      </w:r>
      <w:r w:rsidRPr="00213371">
        <w:rPr>
          <w:rFonts w:asciiTheme="minorHAnsi" w:hAnsiTheme="minorHAnsi"/>
          <w:sz w:val="24"/>
          <w:szCs w:val="24"/>
        </w:rPr>
        <w:t>Instead of orienting the HUA around a point of maximum impact in the watershed, these two states use the HUA to ensure that individual point source discharges do not raise the receiving waterbody temperature by over 0.3°C at the end of the mixing zone.</w:t>
      </w:r>
      <w:r>
        <w:rPr>
          <w:rStyle w:val="FootnoteReference"/>
          <w:rFonts w:asciiTheme="minorHAnsi" w:hAnsiTheme="minorHAnsi"/>
          <w:sz w:val="24"/>
          <w:szCs w:val="24"/>
        </w:rPr>
        <w:footnoteReference w:id="3"/>
      </w:r>
      <w:r w:rsidRPr="00213371">
        <w:rPr>
          <w:rFonts w:asciiTheme="minorHAnsi" w:hAnsiTheme="minorHAnsi"/>
          <w:sz w:val="24"/>
          <w:szCs w:val="24"/>
        </w:rPr>
        <w:t xml:space="preserve"> Nonpoint sources do not explicitly receive a portion of the HUA. Without a POMI, it is possible that only nonpoint sources above the mixing zone of the particular point source would be eligible to trade. </w:t>
      </w:r>
    </w:p>
    <w:p w:rsidR="000D0A2B" w:rsidRDefault="00494CBB" w:rsidP="00494CBB">
      <w:pPr>
        <w:pStyle w:val="Default"/>
        <w:spacing w:before="120" w:after="120"/>
        <w:ind w:left="360" w:firstLine="360"/>
        <w:rPr>
          <w:rFonts w:asciiTheme="minorHAnsi" w:hAnsiTheme="minorHAnsi" w:cs="Arial"/>
          <w:bCs/>
          <w:i/>
          <w:u w:val="single"/>
        </w:rPr>
      </w:pPr>
      <w:r>
        <w:rPr>
          <w:rFonts w:asciiTheme="minorHAnsi" w:hAnsiTheme="minorHAnsi" w:cs="Arial"/>
          <w:bCs/>
          <w:i/>
          <w:u w:val="single"/>
        </w:rPr>
        <w:t xml:space="preserve">B. </w:t>
      </w:r>
      <w:r w:rsidR="00010DA6">
        <w:rPr>
          <w:rFonts w:asciiTheme="minorHAnsi" w:hAnsiTheme="minorHAnsi" w:cs="Arial"/>
          <w:bCs/>
          <w:i/>
          <w:u w:val="single"/>
        </w:rPr>
        <w:t xml:space="preserve">LAs </w:t>
      </w:r>
      <w:r w:rsidR="00B03416">
        <w:rPr>
          <w:rFonts w:asciiTheme="minorHAnsi" w:hAnsiTheme="minorHAnsi" w:cs="Arial"/>
          <w:bCs/>
          <w:i/>
          <w:u w:val="single"/>
        </w:rPr>
        <w:t>in TMDL</w:t>
      </w:r>
    </w:p>
    <w:p w:rsidR="00B03416" w:rsidRDefault="00B679E1" w:rsidP="00B03416">
      <w:pPr>
        <w:pStyle w:val="Default"/>
        <w:spacing w:before="120" w:after="120"/>
        <w:rPr>
          <w:rFonts w:asciiTheme="minorHAnsi" w:hAnsiTheme="minorHAnsi"/>
        </w:rPr>
      </w:pPr>
      <w:r w:rsidRPr="00B679E1">
        <w:rPr>
          <w:rFonts w:asciiTheme="minorHAnsi" w:hAnsiTheme="minorHAnsi"/>
        </w:rPr>
        <w:t xml:space="preserve">All three states </w:t>
      </w:r>
      <w:r w:rsidR="00EF7C16">
        <w:rPr>
          <w:rFonts w:asciiTheme="minorHAnsi" w:hAnsiTheme="minorHAnsi"/>
        </w:rPr>
        <w:t>include an analysis</w:t>
      </w:r>
      <w:r w:rsidRPr="00B679E1">
        <w:rPr>
          <w:rFonts w:asciiTheme="minorHAnsi" w:hAnsiTheme="minorHAnsi"/>
        </w:rPr>
        <w:t xml:space="preserve"> of “system potential vegetation” </w:t>
      </w:r>
      <w:r w:rsidR="00A60F23">
        <w:rPr>
          <w:rFonts w:asciiTheme="minorHAnsi" w:hAnsiTheme="minorHAnsi"/>
        </w:rPr>
        <w:t xml:space="preserve">(a surrogate shade </w:t>
      </w:r>
      <w:r w:rsidR="006F01B9">
        <w:rPr>
          <w:rFonts w:asciiTheme="minorHAnsi" w:hAnsiTheme="minorHAnsi"/>
        </w:rPr>
        <w:t xml:space="preserve">target) </w:t>
      </w:r>
      <w:r w:rsidR="00EF7C16">
        <w:rPr>
          <w:rFonts w:asciiTheme="minorHAnsi" w:hAnsiTheme="minorHAnsi"/>
        </w:rPr>
        <w:t xml:space="preserve">in the development of TMDLs and/or LAs </w:t>
      </w:r>
      <w:r w:rsidRPr="00B679E1">
        <w:rPr>
          <w:rFonts w:asciiTheme="minorHAnsi" w:hAnsiTheme="minorHAnsi"/>
        </w:rPr>
        <w:t xml:space="preserve">because </w:t>
      </w:r>
      <w:r w:rsidR="00F20008" w:rsidRPr="00B679E1">
        <w:rPr>
          <w:rFonts w:asciiTheme="minorHAnsi" w:hAnsiTheme="minorHAnsi"/>
        </w:rPr>
        <w:t>they have</w:t>
      </w:r>
      <w:r w:rsidRPr="00B679E1">
        <w:rPr>
          <w:rFonts w:asciiTheme="minorHAnsi" w:hAnsiTheme="minorHAnsi"/>
        </w:rPr>
        <w:t xml:space="preserve"> recognized that </w:t>
      </w:r>
      <w:r w:rsidR="000D0A2B">
        <w:rPr>
          <w:rFonts w:asciiTheme="minorHAnsi" w:hAnsiTheme="minorHAnsi"/>
        </w:rPr>
        <w:t>the loss of riparian vegetation is a large driver of</w:t>
      </w:r>
      <w:r w:rsidRPr="00B679E1">
        <w:rPr>
          <w:rFonts w:asciiTheme="minorHAnsi" w:hAnsiTheme="minorHAnsi"/>
        </w:rPr>
        <w:t xml:space="preserve"> waterway temperature issues</w:t>
      </w:r>
      <w:r w:rsidR="000D0A2B">
        <w:rPr>
          <w:rStyle w:val="CommentReference"/>
          <w:rFonts w:ascii="Calibri" w:hAnsi="Calibri"/>
          <w:color w:val="auto"/>
        </w:rPr>
        <w:t>.</w:t>
      </w:r>
      <w:r w:rsidR="006F01B9">
        <w:rPr>
          <w:rFonts w:asciiTheme="minorHAnsi" w:hAnsiTheme="minorHAnsi"/>
        </w:rPr>
        <w:t xml:space="preserve"> </w:t>
      </w:r>
      <w:r w:rsidR="001D4BED">
        <w:rPr>
          <w:rFonts w:asciiTheme="minorHAnsi" w:hAnsiTheme="minorHAnsi"/>
        </w:rPr>
        <w:t xml:space="preserve">The three states all recognize that full shade is the target. </w:t>
      </w:r>
      <w:r w:rsidR="00EA0430">
        <w:rPr>
          <w:rFonts w:asciiTheme="minorHAnsi" w:hAnsiTheme="minorHAnsi"/>
        </w:rPr>
        <w:t>The</w:t>
      </w:r>
      <w:r w:rsidR="000D5199">
        <w:rPr>
          <w:rFonts w:asciiTheme="minorHAnsi" w:hAnsiTheme="minorHAnsi"/>
        </w:rPr>
        <w:t xml:space="preserve">re is variation in the extent to which it is assumed that target can be attained through </w:t>
      </w:r>
      <w:r w:rsidR="00F20008">
        <w:rPr>
          <w:rFonts w:asciiTheme="minorHAnsi" w:hAnsiTheme="minorHAnsi"/>
        </w:rPr>
        <w:t>riparian</w:t>
      </w:r>
      <w:r w:rsidR="000D5199">
        <w:rPr>
          <w:rFonts w:asciiTheme="minorHAnsi" w:hAnsiTheme="minorHAnsi"/>
        </w:rPr>
        <w:t xml:space="preserve"> revegetation. </w:t>
      </w:r>
    </w:p>
    <w:p w:rsidR="000E0334" w:rsidRDefault="000E0334" w:rsidP="00B03416">
      <w:pPr>
        <w:pStyle w:val="Default"/>
        <w:spacing w:before="120" w:after="120"/>
        <w:rPr>
          <w:rFonts w:asciiTheme="minorHAnsi" w:hAnsiTheme="minorHAnsi"/>
        </w:rPr>
      </w:pPr>
      <w:r>
        <w:rPr>
          <w:rFonts w:asciiTheme="minorHAnsi" w:hAnsiTheme="minorHAnsi"/>
        </w:rPr>
        <w:lastRenderedPageBreak/>
        <w:t>Some TMDLs have begun to explore width-to-depth ratios, base flow changes</w:t>
      </w:r>
      <w:r w:rsidR="00AC4F93">
        <w:rPr>
          <w:rFonts w:asciiTheme="minorHAnsi" w:hAnsiTheme="minorHAnsi"/>
        </w:rPr>
        <w:t>, and geomorphology</w:t>
      </w:r>
      <w:r>
        <w:rPr>
          <w:rFonts w:asciiTheme="minorHAnsi" w:hAnsiTheme="minorHAnsi"/>
        </w:rPr>
        <w:t xml:space="preserve"> as well. </w:t>
      </w:r>
    </w:p>
    <w:p w:rsidR="004D000A" w:rsidRPr="004D000A" w:rsidRDefault="004D000A" w:rsidP="004D000A">
      <w:pPr>
        <w:pStyle w:val="Default"/>
        <w:numPr>
          <w:ilvl w:val="0"/>
          <w:numId w:val="7"/>
        </w:numPr>
        <w:spacing w:before="240" w:after="120"/>
        <w:rPr>
          <w:rFonts w:asciiTheme="minorHAnsi" w:hAnsiTheme="minorHAnsi" w:cs="Arial"/>
          <w:b/>
          <w:bCs/>
        </w:rPr>
      </w:pPr>
      <w:r w:rsidRPr="004D000A">
        <w:rPr>
          <w:rFonts w:asciiTheme="minorHAnsi" w:hAnsiTheme="minorHAnsi" w:cs="Arial"/>
          <w:b/>
          <w:bCs/>
        </w:rPr>
        <w:t>Oregon Example</w:t>
      </w:r>
      <w:r w:rsidRPr="004D000A">
        <w:rPr>
          <w:rFonts w:asciiTheme="minorHAnsi" w:hAnsiTheme="minorHAnsi" w:cs="Arial"/>
          <w:bCs/>
        </w:rPr>
        <w:t xml:space="preserve">: </w:t>
      </w:r>
      <w:r w:rsidR="00EA0430" w:rsidRPr="00811E71">
        <w:rPr>
          <w:rFonts w:asciiTheme="minorHAnsi" w:hAnsiTheme="minorHAnsi" w:cs="Arial"/>
          <w:bCs/>
        </w:rPr>
        <w:t xml:space="preserve">Prior to developing load allocations, Oregon models natural thermal potential, which assumes riparian vegetation, </w:t>
      </w:r>
      <w:r w:rsidR="000D5199">
        <w:rPr>
          <w:rFonts w:asciiTheme="minorHAnsi" w:hAnsiTheme="minorHAnsi" w:cs="Arial"/>
          <w:bCs/>
        </w:rPr>
        <w:t xml:space="preserve">natural </w:t>
      </w:r>
      <w:r w:rsidR="00EA0430" w:rsidRPr="00811E71">
        <w:rPr>
          <w:rFonts w:asciiTheme="minorHAnsi" w:hAnsiTheme="minorHAnsi" w:cs="Arial"/>
          <w:bCs/>
        </w:rPr>
        <w:t>base flows</w:t>
      </w:r>
      <w:r w:rsidR="000D5199">
        <w:rPr>
          <w:rFonts w:asciiTheme="minorHAnsi" w:hAnsiTheme="minorHAnsi" w:cs="Arial"/>
          <w:bCs/>
        </w:rPr>
        <w:t xml:space="preserve"> (without diversions)</w:t>
      </w:r>
      <w:r w:rsidR="00EA0430" w:rsidRPr="00811E71">
        <w:rPr>
          <w:rFonts w:asciiTheme="minorHAnsi" w:hAnsiTheme="minorHAnsi" w:cs="Arial"/>
          <w:bCs/>
        </w:rPr>
        <w:t xml:space="preserve">, and sometimes a more natural stream geomorphology. </w:t>
      </w:r>
      <w:r w:rsidR="00EA0430" w:rsidRPr="00811E71">
        <w:rPr>
          <w:rFonts w:asciiTheme="minorHAnsi" w:hAnsiTheme="minorHAnsi"/>
        </w:rPr>
        <w:t>In Oregon, this entailed application of natural thermal potential condition criteria.</w:t>
      </w:r>
      <w:r w:rsidR="000D5199">
        <w:rPr>
          <w:rStyle w:val="FootnoteReference"/>
          <w:rFonts w:asciiTheme="minorHAnsi" w:hAnsiTheme="minorHAnsi"/>
        </w:rPr>
        <w:footnoteReference w:id="4"/>
      </w:r>
    </w:p>
    <w:p w:rsidR="000D0A2B" w:rsidRPr="004D000A" w:rsidRDefault="004D000A" w:rsidP="00C8026C">
      <w:pPr>
        <w:pStyle w:val="Default"/>
        <w:numPr>
          <w:ilvl w:val="0"/>
          <w:numId w:val="7"/>
        </w:numPr>
        <w:spacing w:before="240" w:after="120"/>
        <w:rPr>
          <w:rFonts w:asciiTheme="minorHAnsi" w:hAnsiTheme="minorHAnsi" w:cs="Arial"/>
          <w:b/>
          <w:bCs/>
        </w:rPr>
      </w:pPr>
      <w:r w:rsidRPr="004D000A">
        <w:rPr>
          <w:rFonts w:asciiTheme="minorHAnsi" w:hAnsiTheme="minorHAnsi" w:cs="Arial"/>
          <w:b/>
          <w:bCs/>
        </w:rPr>
        <w:t>Idaho &amp; Washington Example</w:t>
      </w:r>
      <w:r w:rsidRPr="004D000A">
        <w:rPr>
          <w:rFonts w:asciiTheme="minorHAnsi" w:hAnsiTheme="minorHAnsi" w:cs="Arial"/>
          <w:bCs/>
        </w:rPr>
        <w:t xml:space="preserve">: </w:t>
      </w:r>
      <w:r w:rsidR="00486A2E" w:rsidRPr="00811E71">
        <w:rPr>
          <w:rFonts w:asciiTheme="minorHAnsi" w:hAnsiTheme="minorHAnsi" w:cs="Arial"/>
          <w:bCs/>
        </w:rPr>
        <w:t xml:space="preserve">In Idaho and Washington, </w:t>
      </w:r>
      <w:r w:rsidR="00010DA6">
        <w:rPr>
          <w:rFonts w:asciiTheme="minorHAnsi" w:hAnsiTheme="minorHAnsi" w:cs="Arial"/>
          <w:bCs/>
        </w:rPr>
        <w:t>LAs</w:t>
      </w:r>
      <w:r w:rsidR="00486A2E" w:rsidRPr="00811E71">
        <w:rPr>
          <w:rFonts w:asciiTheme="minorHAnsi" w:hAnsiTheme="minorHAnsi" w:cs="Arial"/>
          <w:bCs/>
        </w:rPr>
        <w:t xml:space="preserve"> are based on the achievement of system potential shade. If some streams still exceed the numeric criteria in the water quality standards after achieving system potential shade, </w:t>
      </w:r>
      <w:r w:rsidR="00EA0430" w:rsidRPr="00811E71">
        <w:rPr>
          <w:rFonts w:asciiTheme="minorHAnsi" w:hAnsiTheme="minorHAnsi"/>
        </w:rPr>
        <w:t>that thermal load may be attributed to natural background.</w:t>
      </w:r>
      <w:r w:rsidR="000D5199">
        <w:rPr>
          <w:rStyle w:val="FootnoteReference"/>
          <w:rFonts w:asciiTheme="minorHAnsi" w:hAnsiTheme="minorHAnsi"/>
        </w:rPr>
        <w:footnoteReference w:id="5"/>
      </w:r>
    </w:p>
    <w:p w:rsidR="000D0A2B" w:rsidRPr="00CB5FEE" w:rsidRDefault="00486A2E">
      <w:pPr>
        <w:pStyle w:val="Default"/>
        <w:numPr>
          <w:ilvl w:val="0"/>
          <w:numId w:val="3"/>
        </w:numPr>
        <w:spacing w:before="120" w:after="120"/>
        <w:rPr>
          <w:rFonts w:asciiTheme="minorHAnsi" w:hAnsiTheme="minorHAnsi" w:cs="Arial"/>
          <w:b/>
          <w:bCs/>
          <w:i/>
          <w:u w:val="single"/>
        </w:rPr>
      </w:pPr>
      <w:r w:rsidRPr="00486A2E">
        <w:rPr>
          <w:rFonts w:asciiTheme="minorHAnsi" w:hAnsiTheme="minorHAnsi" w:cs="Arial"/>
          <w:b/>
          <w:bCs/>
          <w:i/>
          <w:u w:val="single"/>
        </w:rPr>
        <w:t xml:space="preserve">Sediments and Nutrients </w:t>
      </w:r>
    </w:p>
    <w:p w:rsidR="00494CBB" w:rsidRDefault="00486A2E" w:rsidP="00C8026C">
      <w:pPr>
        <w:pStyle w:val="Default"/>
        <w:spacing w:before="120" w:after="120"/>
        <w:ind w:left="360" w:firstLine="360"/>
        <w:rPr>
          <w:rFonts w:asciiTheme="minorHAnsi" w:hAnsiTheme="minorHAnsi" w:cs="Arial"/>
          <w:bCs/>
          <w:u w:val="single"/>
        </w:rPr>
      </w:pPr>
      <w:r w:rsidRPr="00486A2E">
        <w:rPr>
          <w:rFonts w:asciiTheme="minorHAnsi" w:hAnsiTheme="minorHAnsi" w:cs="Arial"/>
          <w:bCs/>
          <w:i/>
          <w:u w:val="single"/>
        </w:rPr>
        <w:t xml:space="preserve">A. </w:t>
      </w:r>
      <w:r w:rsidR="00010DA6">
        <w:rPr>
          <w:rFonts w:asciiTheme="minorHAnsi" w:hAnsiTheme="minorHAnsi" w:cs="Arial"/>
          <w:bCs/>
          <w:i/>
          <w:u w:val="single"/>
        </w:rPr>
        <w:t>HUA</w:t>
      </w:r>
    </w:p>
    <w:p w:rsidR="00DF63C5" w:rsidRDefault="00486A2E">
      <w:pPr>
        <w:pStyle w:val="Default"/>
        <w:numPr>
          <w:ilvl w:val="0"/>
          <w:numId w:val="8"/>
        </w:numPr>
        <w:spacing w:before="120" w:after="120"/>
        <w:rPr>
          <w:rFonts w:asciiTheme="minorHAnsi" w:hAnsiTheme="minorHAnsi" w:cs="Arial"/>
          <w:bCs/>
        </w:rPr>
      </w:pPr>
      <w:r w:rsidRPr="00486A2E">
        <w:rPr>
          <w:rFonts w:asciiTheme="minorHAnsi" w:hAnsiTheme="minorHAnsi" w:cs="Arial"/>
          <w:b/>
          <w:bCs/>
        </w:rPr>
        <w:t>Oregon Example</w:t>
      </w:r>
      <w:r w:rsidR="00CB5FEE">
        <w:rPr>
          <w:rFonts w:asciiTheme="minorHAnsi" w:hAnsiTheme="minorHAnsi" w:cs="Arial"/>
          <w:bCs/>
        </w:rPr>
        <w:t xml:space="preserve">: Oregon does not appear to have a HUA-type regulation for sediments, nutrients, or any parameters associated with those two pollutants (such as DO or pH). </w:t>
      </w:r>
    </w:p>
    <w:p w:rsidR="00DF63C5" w:rsidRDefault="00486A2E">
      <w:pPr>
        <w:pStyle w:val="Default"/>
        <w:numPr>
          <w:ilvl w:val="0"/>
          <w:numId w:val="8"/>
        </w:numPr>
        <w:spacing w:before="120" w:after="120"/>
        <w:rPr>
          <w:rFonts w:asciiTheme="minorHAnsi" w:hAnsiTheme="minorHAnsi" w:cs="Arial"/>
          <w:bCs/>
        </w:rPr>
      </w:pPr>
      <w:r w:rsidRPr="00486A2E">
        <w:rPr>
          <w:rFonts w:asciiTheme="minorHAnsi" w:hAnsiTheme="minorHAnsi" w:cs="Arial"/>
          <w:b/>
          <w:bCs/>
        </w:rPr>
        <w:t>Washington Example</w:t>
      </w:r>
      <w:r w:rsidRPr="00486A2E">
        <w:rPr>
          <w:rFonts w:asciiTheme="minorHAnsi" w:hAnsiTheme="minorHAnsi" w:cs="Arial"/>
          <w:bCs/>
        </w:rPr>
        <w:t xml:space="preserve">: Washington includes HUA-type </w:t>
      </w:r>
      <w:r w:rsidR="00CB5FEE" w:rsidRPr="007D67FE">
        <w:rPr>
          <w:rFonts w:asciiTheme="minorHAnsi" w:hAnsiTheme="minorHAnsi" w:cs="Arial"/>
          <w:bCs/>
        </w:rPr>
        <w:t>regulations</w:t>
      </w:r>
      <w:r w:rsidRPr="00486A2E">
        <w:rPr>
          <w:rFonts w:asciiTheme="minorHAnsi" w:hAnsiTheme="minorHAnsi" w:cs="Arial"/>
          <w:bCs/>
        </w:rPr>
        <w:t xml:space="preserve"> for dissolved oxygen and pH.</w:t>
      </w:r>
      <w:r w:rsidR="000D5199">
        <w:rPr>
          <w:rStyle w:val="FootnoteReference"/>
          <w:rFonts w:asciiTheme="minorHAnsi" w:hAnsiTheme="minorHAnsi"/>
          <w:bCs/>
        </w:rPr>
        <w:footnoteReference w:id="6"/>
      </w:r>
      <w:r w:rsidRPr="00486A2E">
        <w:rPr>
          <w:rFonts w:asciiTheme="minorHAnsi" w:hAnsiTheme="minorHAnsi" w:cs="Arial"/>
          <w:bCs/>
        </w:rPr>
        <w:t xml:space="preserve"> </w:t>
      </w:r>
      <w:r w:rsidRPr="00486A2E">
        <w:rPr>
          <w:rFonts w:asciiTheme="minorHAnsi" w:hAnsiTheme="minorHAnsi"/>
        </w:rPr>
        <w:t xml:space="preserve">For example, in river segments listed for dissolved oxygen, </w:t>
      </w:r>
      <w:r w:rsidR="003F3432" w:rsidRPr="007D67FE">
        <w:rPr>
          <w:rFonts w:asciiTheme="minorHAnsi" w:hAnsiTheme="minorHAnsi" w:cs="Arial"/>
        </w:rPr>
        <w:t xml:space="preserve">human actions considered cumulatively may not cause the DO to decrease more than 0.2 mg/L below natural conditions when DO levels are lower than aquatic life criteria for salmonids spawning, rearing and migration (8.0 mg/L).  In lake </w:t>
      </w:r>
      <w:r w:rsidR="00F20008" w:rsidRPr="007D67FE">
        <w:rPr>
          <w:rFonts w:asciiTheme="minorHAnsi" w:hAnsiTheme="minorHAnsi" w:cs="Arial"/>
        </w:rPr>
        <w:t>segments, h</w:t>
      </w:r>
      <w:r w:rsidR="003F3432" w:rsidRPr="007D67FE">
        <w:rPr>
          <w:rFonts w:asciiTheme="minorHAnsi" w:hAnsiTheme="minorHAnsi" w:cs="Arial"/>
        </w:rPr>
        <w:t>uman actions considered cumulatively may not cause the DO to decrease more than 0.2 mg/L below natural conditions when DO levels are lower than aquatic life criteria for core summer salmonids habitat (9.5 mg/L).</w:t>
      </w:r>
      <w:r w:rsidR="00CB5FEE" w:rsidRPr="007D67FE">
        <w:rPr>
          <w:rFonts w:asciiTheme="minorHAnsi" w:hAnsiTheme="minorHAnsi" w:cs="Arial"/>
          <w:bCs/>
        </w:rPr>
        <w:t xml:space="preserve"> There are no nutrient- or sediment-specific </w:t>
      </w:r>
      <w:r w:rsidR="0018012E" w:rsidRPr="007D67FE">
        <w:rPr>
          <w:rFonts w:asciiTheme="minorHAnsi" w:hAnsiTheme="minorHAnsi" w:cs="Arial"/>
          <w:bCs/>
        </w:rPr>
        <w:t>HUA-type regulations</w:t>
      </w:r>
      <w:r w:rsidR="00CB5FEE" w:rsidRPr="007D67FE">
        <w:rPr>
          <w:rFonts w:asciiTheme="minorHAnsi" w:hAnsiTheme="minorHAnsi" w:cs="Arial"/>
          <w:bCs/>
        </w:rPr>
        <w:t xml:space="preserve">. </w:t>
      </w:r>
    </w:p>
    <w:p w:rsidR="00DF63C5" w:rsidRDefault="00010DA6">
      <w:pPr>
        <w:pStyle w:val="Default"/>
        <w:numPr>
          <w:ilvl w:val="0"/>
          <w:numId w:val="11"/>
        </w:numPr>
        <w:spacing w:before="120" w:after="120"/>
        <w:rPr>
          <w:rFonts w:asciiTheme="minorHAnsi" w:hAnsiTheme="minorHAnsi" w:cs="Arial"/>
          <w:bCs/>
          <w:u w:val="single"/>
        </w:rPr>
      </w:pPr>
      <w:r>
        <w:rPr>
          <w:rFonts w:asciiTheme="minorHAnsi" w:hAnsiTheme="minorHAnsi" w:cs="Arial"/>
          <w:bCs/>
          <w:i/>
          <w:u w:val="single"/>
        </w:rPr>
        <w:t>LAs</w:t>
      </w:r>
      <w:r w:rsidR="008C27AA" w:rsidRPr="00114C36">
        <w:rPr>
          <w:rFonts w:asciiTheme="minorHAnsi" w:hAnsiTheme="minorHAnsi" w:cs="Arial"/>
          <w:bCs/>
          <w:i/>
          <w:u w:val="single"/>
        </w:rPr>
        <w:t xml:space="preserve"> to Nonpoint Sources in the HUA</w:t>
      </w:r>
      <w:r w:rsidR="008C27AA" w:rsidRPr="00114C36">
        <w:rPr>
          <w:rFonts w:asciiTheme="minorHAnsi" w:hAnsiTheme="minorHAnsi" w:cs="Arial"/>
          <w:bCs/>
          <w:u w:val="single"/>
        </w:rPr>
        <w:t>:</w:t>
      </w:r>
    </w:p>
    <w:p w:rsidR="000D5199" w:rsidRPr="00010DA6" w:rsidRDefault="000D5199" w:rsidP="000D5199">
      <w:pPr>
        <w:pStyle w:val="Default"/>
        <w:spacing w:before="120" w:after="120"/>
        <w:rPr>
          <w:rFonts w:asciiTheme="minorHAnsi" w:hAnsiTheme="minorHAnsi" w:cs="Arial"/>
          <w:bCs/>
        </w:rPr>
      </w:pPr>
      <w:r w:rsidRPr="00010DA6">
        <w:rPr>
          <w:rFonts w:asciiTheme="minorHAnsi" w:hAnsiTheme="minorHAnsi" w:cs="Arial"/>
          <w:bCs/>
        </w:rPr>
        <w:t xml:space="preserve">NPS load allocations are not set consistently.  Often, it seems that baseline loads are calculated for particular industry sectors (e.g. agriculture), which are then multiplied by a percentage reduction target.  This percentage reduction target seems to be based on best professional judgment.  In other cases, this amount seems to be based on an expected reduction in human-caused pollution above natural background or baseline conditions.  Another variable is whether LAs are established based on conservative estimates and assumptions, such as low flow water years. Currently, the states do not appear to allocate any nutrient or sediment loads to nonpoint sources. </w:t>
      </w:r>
    </w:p>
    <w:p w:rsidR="004F2167" w:rsidRDefault="00520A88" w:rsidP="00865DDF">
      <w:pPr>
        <w:pStyle w:val="Default"/>
        <w:spacing w:before="120" w:after="120"/>
        <w:rPr>
          <w:rFonts w:asciiTheme="minorHAnsi" w:hAnsiTheme="minorHAnsi" w:cs="Arial"/>
          <w:b/>
          <w:bCs/>
        </w:rPr>
      </w:pPr>
      <w:r>
        <w:rPr>
          <w:rFonts w:asciiTheme="minorHAnsi" w:hAnsiTheme="minorHAnsi" w:cs="Arial"/>
          <w:bCs/>
        </w:rPr>
        <w:t xml:space="preserve">In </w:t>
      </w:r>
      <w:r w:rsidR="00CC0011">
        <w:rPr>
          <w:rFonts w:asciiTheme="minorHAnsi" w:hAnsiTheme="minorHAnsi" w:cs="Arial"/>
          <w:bCs/>
        </w:rPr>
        <w:t xml:space="preserve">several </w:t>
      </w:r>
      <w:r>
        <w:rPr>
          <w:rFonts w:asciiTheme="minorHAnsi" w:hAnsiTheme="minorHAnsi" w:cs="Arial"/>
          <w:bCs/>
        </w:rPr>
        <w:t>sediment TMDLs</w:t>
      </w:r>
      <w:r w:rsidR="00CC0011">
        <w:rPr>
          <w:rFonts w:asciiTheme="minorHAnsi" w:hAnsiTheme="minorHAnsi" w:cs="Arial"/>
          <w:bCs/>
        </w:rPr>
        <w:t xml:space="preserve"> </w:t>
      </w:r>
      <w:r w:rsidR="00F20008">
        <w:rPr>
          <w:rFonts w:asciiTheme="minorHAnsi" w:hAnsiTheme="minorHAnsi" w:cs="Arial"/>
          <w:bCs/>
        </w:rPr>
        <w:t>reviewed,</w:t>
      </w:r>
      <w:r>
        <w:rPr>
          <w:rFonts w:asciiTheme="minorHAnsi" w:hAnsiTheme="minorHAnsi" w:cs="Arial"/>
          <w:bCs/>
        </w:rPr>
        <w:t xml:space="preserve"> for example</w:t>
      </w:r>
      <w:r w:rsidR="00486A2E" w:rsidRPr="00486A2E">
        <w:rPr>
          <w:rFonts w:asciiTheme="minorHAnsi" w:hAnsiTheme="minorHAnsi" w:cs="Arial"/>
          <w:bCs/>
        </w:rPr>
        <w:t xml:space="preserve">, </w:t>
      </w:r>
      <w:r w:rsidR="00D258FB">
        <w:rPr>
          <w:rFonts w:asciiTheme="minorHAnsi" w:hAnsiTheme="minorHAnsi" w:cs="Arial"/>
          <w:bCs/>
        </w:rPr>
        <w:t>LAs</w:t>
      </w:r>
      <w:r w:rsidR="00486A2E" w:rsidRPr="00486A2E">
        <w:rPr>
          <w:rFonts w:asciiTheme="minorHAnsi" w:hAnsiTheme="minorHAnsi" w:cs="Arial"/>
          <w:bCs/>
        </w:rPr>
        <w:t xml:space="preserve"> </w:t>
      </w:r>
      <w:r w:rsidR="00CC0011">
        <w:rPr>
          <w:rFonts w:asciiTheme="minorHAnsi" w:hAnsiTheme="minorHAnsi" w:cs="Arial"/>
          <w:bCs/>
        </w:rPr>
        <w:t>we</w:t>
      </w:r>
      <w:r w:rsidR="00486A2E" w:rsidRPr="00486A2E">
        <w:rPr>
          <w:rFonts w:asciiTheme="minorHAnsi" w:hAnsiTheme="minorHAnsi" w:cs="Arial"/>
          <w:bCs/>
        </w:rPr>
        <w:t xml:space="preserve">re assigned using </w:t>
      </w:r>
      <w:r w:rsidR="00D258FB">
        <w:rPr>
          <w:rFonts w:asciiTheme="minorHAnsi" w:hAnsiTheme="minorHAnsi" w:cs="Arial"/>
          <w:bCs/>
        </w:rPr>
        <w:t>total suspended sediment (</w:t>
      </w:r>
      <w:r w:rsidR="00486A2E" w:rsidRPr="00486A2E">
        <w:rPr>
          <w:rFonts w:asciiTheme="minorHAnsi" w:hAnsiTheme="minorHAnsi" w:cs="Arial"/>
          <w:bCs/>
        </w:rPr>
        <w:t>TSS</w:t>
      </w:r>
      <w:r w:rsidR="00D258FB">
        <w:rPr>
          <w:rFonts w:asciiTheme="minorHAnsi" w:hAnsiTheme="minorHAnsi" w:cs="Arial"/>
          <w:bCs/>
        </w:rPr>
        <w:t>)</w:t>
      </w:r>
      <w:r w:rsidR="00486A2E" w:rsidRPr="00486A2E">
        <w:rPr>
          <w:rFonts w:asciiTheme="minorHAnsi" w:hAnsiTheme="minorHAnsi" w:cs="Arial"/>
          <w:bCs/>
        </w:rPr>
        <w:t xml:space="preserve"> concentrations at fixed measurement points instream. </w:t>
      </w:r>
      <w:r w:rsidR="00CB5FEE">
        <w:rPr>
          <w:rFonts w:asciiTheme="minorHAnsi" w:hAnsiTheme="minorHAnsi" w:cs="Arial"/>
          <w:bCs/>
        </w:rPr>
        <w:t>U</w:t>
      </w:r>
      <w:r w:rsidR="00486A2E" w:rsidRPr="00486A2E">
        <w:rPr>
          <w:rFonts w:asciiTheme="minorHAnsi" w:hAnsiTheme="minorHAnsi" w:cs="Arial"/>
          <w:bCs/>
        </w:rPr>
        <w:t>sing the measure</w:t>
      </w:r>
      <w:r w:rsidR="00D258FB">
        <w:rPr>
          <w:rFonts w:asciiTheme="minorHAnsi" w:hAnsiTheme="minorHAnsi" w:cs="Arial"/>
          <w:bCs/>
        </w:rPr>
        <w:t>d</w:t>
      </w:r>
      <w:r w:rsidR="00486A2E" w:rsidRPr="00486A2E">
        <w:rPr>
          <w:rFonts w:asciiTheme="minorHAnsi" w:hAnsiTheme="minorHAnsi" w:cs="Arial"/>
          <w:bCs/>
        </w:rPr>
        <w:t xml:space="preserve"> concentration and mass balance, </w:t>
      </w:r>
      <w:r w:rsidR="00CC0011">
        <w:rPr>
          <w:rFonts w:asciiTheme="minorHAnsi" w:hAnsiTheme="minorHAnsi" w:cs="Arial"/>
          <w:bCs/>
        </w:rPr>
        <w:t>some TMDLs</w:t>
      </w:r>
      <w:r w:rsidR="00CB5FEE">
        <w:rPr>
          <w:rFonts w:asciiTheme="minorHAnsi" w:hAnsiTheme="minorHAnsi" w:cs="Arial"/>
          <w:bCs/>
        </w:rPr>
        <w:t xml:space="preserve"> calculate</w:t>
      </w:r>
      <w:r w:rsidR="00CC0011">
        <w:rPr>
          <w:rFonts w:asciiTheme="minorHAnsi" w:hAnsiTheme="minorHAnsi" w:cs="Arial"/>
          <w:bCs/>
        </w:rPr>
        <w:t>d</w:t>
      </w:r>
      <w:r>
        <w:rPr>
          <w:rFonts w:asciiTheme="minorHAnsi" w:hAnsiTheme="minorHAnsi" w:cs="Arial"/>
          <w:bCs/>
        </w:rPr>
        <w:t xml:space="preserve"> the</w:t>
      </w:r>
      <w:r w:rsidR="00CB5FEE">
        <w:rPr>
          <w:rFonts w:asciiTheme="minorHAnsi" w:hAnsiTheme="minorHAnsi" w:cs="Arial"/>
          <w:bCs/>
        </w:rPr>
        <w:t xml:space="preserve"> </w:t>
      </w:r>
      <w:r w:rsidR="00486A2E" w:rsidRPr="00486A2E">
        <w:rPr>
          <w:rFonts w:asciiTheme="minorHAnsi" w:hAnsiTheme="minorHAnsi" w:cs="Arial"/>
          <w:bCs/>
        </w:rPr>
        <w:t xml:space="preserve">reduction required at that point to </w:t>
      </w:r>
      <w:r w:rsidR="00F20008" w:rsidRPr="00486A2E">
        <w:rPr>
          <w:rFonts w:asciiTheme="minorHAnsi" w:hAnsiTheme="minorHAnsi" w:cs="Arial"/>
          <w:bCs/>
        </w:rPr>
        <w:t>achieve</w:t>
      </w:r>
      <w:r w:rsidR="00486A2E" w:rsidRPr="00486A2E">
        <w:rPr>
          <w:rFonts w:asciiTheme="minorHAnsi" w:hAnsiTheme="minorHAnsi" w:cs="Arial"/>
          <w:bCs/>
        </w:rPr>
        <w:t xml:space="preserve"> water quality standards. Implicitly, there is attenuation between measurement points and reduction requirements </w:t>
      </w:r>
      <w:r w:rsidR="00AD3498" w:rsidRPr="00D258FB">
        <w:rPr>
          <w:rFonts w:asciiTheme="minorHAnsi" w:hAnsiTheme="minorHAnsi" w:cs="Arial"/>
          <w:bCs/>
        </w:rPr>
        <w:t>a</w:t>
      </w:r>
      <w:r w:rsidR="00486A2E" w:rsidRPr="00486A2E">
        <w:rPr>
          <w:rFonts w:asciiTheme="minorHAnsi" w:hAnsiTheme="minorHAnsi" w:cs="Arial"/>
          <w:bCs/>
        </w:rPr>
        <w:t>p</w:t>
      </w:r>
      <w:r w:rsidR="00AD3498" w:rsidRPr="00D258FB">
        <w:rPr>
          <w:rFonts w:asciiTheme="minorHAnsi" w:hAnsiTheme="minorHAnsi" w:cs="Arial"/>
          <w:bCs/>
        </w:rPr>
        <w:t xml:space="preserve">ply to the landscape upstream until the previous measurement point. Modeling on a watershed </w:t>
      </w:r>
      <w:r w:rsidR="00AD3498" w:rsidRPr="00D258FB">
        <w:rPr>
          <w:rFonts w:asciiTheme="minorHAnsi" w:hAnsiTheme="minorHAnsi" w:cs="Arial"/>
          <w:bCs/>
        </w:rPr>
        <w:lastRenderedPageBreak/>
        <w:t xml:space="preserve">scale </w:t>
      </w:r>
      <w:r w:rsidR="00CB5FEE">
        <w:rPr>
          <w:rFonts w:asciiTheme="minorHAnsi" w:hAnsiTheme="minorHAnsi" w:cs="Arial"/>
          <w:bCs/>
        </w:rPr>
        <w:t>that accounts for</w:t>
      </w:r>
      <w:r w:rsidR="00AD3498" w:rsidRPr="00D258FB">
        <w:rPr>
          <w:rFonts w:asciiTheme="minorHAnsi" w:hAnsiTheme="minorHAnsi" w:cs="Arial"/>
          <w:bCs/>
        </w:rPr>
        <w:t xml:space="preserve"> attenuation would </w:t>
      </w:r>
      <w:r w:rsidR="00CB5FEE">
        <w:rPr>
          <w:rFonts w:asciiTheme="minorHAnsi" w:hAnsiTheme="minorHAnsi" w:cs="Arial"/>
          <w:bCs/>
        </w:rPr>
        <w:t>provide</w:t>
      </w:r>
      <w:r w:rsidR="00486A2E" w:rsidRPr="00486A2E">
        <w:rPr>
          <w:rFonts w:asciiTheme="minorHAnsi" w:hAnsiTheme="minorHAnsi" w:cs="Arial"/>
          <w:bCs/>
        </w:rPr>
        <w:t xml:space="preserve"> greater</w:t>
      </w:r>
      <w:r w:rsidR="00AD3498" w:rsidRPr="00D258FB">
        <w:rPr>
          <w:rFonts w:asciiTheme="minorHAnsi" w:hAnsiTheme="minorHAnsi" w:cs="Arial"/>
          <w:bCs/>
        </w:rPr>
        <w:t xml:space="preserve"> understand</w:t>
      </w:r>
      <w:r w:rsidR="00486A2E" w:rsidRPr="00486A2E">
        <w:rPr>
          <w:rFonts w:asciiTheme="minorHAnsi" w:hAnsiTheme="minorHAnsi" w:cs="Arial"/>
          <w:bCs/>
        </w:rPr>
        <w:t>ing of</w:t>
      </w:r>
      <w:r w:rsidR="00AD3498" w:rsidRPr="00D258FB">
        <w:rPr>
          <w:rFonts w:asciiTheme="minorHAnsi" w:hAnsiTheme="minorHAnsi" w:cs="Arial"/>
          <w:bCs/>
        </w:rPr>
        <w:t xml:space="preserve"> the full impact of upstream actions and allow for a larger</w:t>
      </w:r>
      <w:r w:rsidR="00CB5FEE">
        <w:rPr>
          <w:rFonts w:asciiTheme="minorHAnsi" w:hAnsiTheme="minorHAnsi" w:cs="Arial"/>
          <w:bCs/>
        </w:rPr>
        <w:t xml:space="preserve"> water quality trading</w:t>
      </w:r>
      <w:r w:rsidR="00AD3498" w:rsidRPr="00D258FB">
        <w:rPr>
          <w:rFonts w:asciiTheme="minorHAnsi" w:hAnsiTheme="minorHAnsi" w:cs="Arial"/>
          <w:bCs/>
        </w:rPr>
        <w:t xml:space="preserve"> service area.</w:t>
      </w:r>
      <w:r w:rsidR="00C2580A">
        <w:rPr>
          <w:rFonts w:asciiTheme="minorHAnsi" w:hAnsiTheme="minorHAnsi" w:cs="Arial"/>
          <w:bCs/>
        </w:rPr>
        <w:t xml:space="preserve"> </w:t>
      </w:r>
    </w:p>
    <w:p w:rsidR="00486E8D" w:rsidRPr="00D258FB" w:rsidRDefault="000D5199" w:rsidP="008B129F">
      <w:pPr>
        <w:pStyle w:val="Default"/>
        <w:spacing w:before="120" w:after="120"/>
        <w:rPr>
          <w:rFonts w:asciiTheme="minorHAnsi" w:hAnsiTheme="minorHAnsi" w:cs="Arial"/>
          <w:bCs/>
        </w:rPr>
      </w:pPr>
      <w:r>
        <w:rPr>
          <w:rFonts w:asciiTheme="minorHAnsi" w:hAnsiTheme="minorHAnsi" w:cs="Arial"/>
          <w:b/>
          <w:bCs/>
        </w:rPr>
        <w:t>I. Options and Examples</w:t>
      </w:r>
    </w:p>
    <w:tbl>
      <w:tblPr>
        <w:tblStyle w:val="TableGrid"/>
        <w:tblW w:w="0" w:type="auto"/>
        <w:tblLook w:val="04A0" w:firstRow="1" w:lastRow="0" w:firstColumn="1" w:lastColumn="0" w:noHBand="0" w:noVBand="1"/>
      </w:tblPr>
      <w:tblGrid>
        <w:gridCol w:w="5076"/>
        <w:gridCol w:w="5076"/>
      </w:tblGrid>
      <w:tr w:rsidR="005C3A30" w:rsidRPr="00520256">
        <w:tc>
          <w:tcPr>
            <w:tcW w:w="5076" w:type="dxa"/>
          </w:tcPr>
          <w:p w:rsidR="005C3A30" w:rsidRPr="002C7B6F" w:rsidRDefault="00486A2E" w:rsidP="009325AA">
            <w:pPr>
              <w:rPr>
                <w:b/>
              </w:rPr>
            </w:pPr>
            <w:r w:rsidRPr="00486A2E">
              <w:rPr>
                <w:b/>
              </w:rPr>
              <w:t>Option A</w:t>
            </w:r>
          </w:p>
          <w:p w:rsidR="00571DD8" w:rsidRPr="002C7B6F" w:rsidRDefault="00486A2E" w:rsidP="00571DD8">
            <w:pPr>
              <w:rPr>
                <w:i/>
              </w:rPr>
            </w:pPr>
            <w:r w:rsidRPr="00486A2E">
              <w:rPr>
                <w:i/>
              </w:rPr>
              <w:t xml:space="preserve">Provide no HUA for sediment and nutrient loading. Identify total load reduction goals, and point source reduction goals. Allocate remainder of load reduction goal to nonpoint sources.  </w:t>
            </w:r>
          </w:p>
        </w:tc>
        <w:tc>
          <w:tcPr>
            <w:tcW w:w="5076" w:type="dxa"/>
          </w:tcPr>
          <w:p w:rsidR="005C3A30" w:rsidRPr="002C7B6F" w:rsidRDefault="00486A2E" w:rsidP="009325AA">
            <w:pPr>
              <w:rPr>
                <w:b/>
              </w:rPr>
            </w:pPr>
            <w:r w:rsidRPr="00486A2E">
              <w:rPr>
                <w:b/>
              </w:rPr>
              <w:t>Option B</w:t>
            </w:r>
          </w:p>
          <w:p w:rsidR="00EA0981" w:rsidRPr="002C7B6F" w:rsidRDefault="00486A2E" w:rsidP="00811E71">
            <w:pPr>
              <w:spacing w:after="120"/>
              <w:rPr>
                <w:i/>
              </w:rPr>
            </w:pPr>
            <w:r w:rsidRPr="00486A2E">
              <w:rPr>
                <w:i/>
              </w:rPr>
              <w:t xml:space="preserve">Assign LAs to </w:t>
            </w:r>
            <w:r w:rsidR="00F20008" w:rsidRPr="00486A2E">
              <w:rPr>
                <w:i/>
              </w:rPr>
              <w:t>particular tributaries</w:t>
            </w:r>
            <w:r w:rsidRPr="00486A2E">
              <w:rPr>
                <w:i/>
              </w:rPr>
              <w:t xml:space="preserve"> based on mass balance equations.  Reductions are </w:t>
            </w:r>
            <w:r w:rsidR="000D5199">
              <w:rPr>
                <w:i/>
              </w:rPr>
              <w:t xml:space="preserve">assigned </w:t>
            </w:r>
            <w:r w:rsidRPr="00486A2E">
              <w:rPr>
                <w:i/>
              </w:rPr>
              <w:t xml:space="preserve">proportionately. No responsibility is assigned, but BMPs are recommended to meet target water quality standards. </w:t>
            </w:r>
          </w:p>
        </w:tc>
      </w:tr>
      <w:tr w:rsidR="0018012E" w:rsidRPr="00520256">
        <w:tc>
          <w:tcPr>
            <w:tcW w:w="5076" w:type="dxa"/>
          </w:tcPr>
          <w:p w:rsidR="0018012E" w:rsidRPr="002C7B6F" w:rsidRDefault="00486A2E" w:rsidP="0018012E">
            <w:pPr>
              <w:rPr>
                <w:b/>
              </w:rPr>
            </w:pPr>
            <w:r w:rsidRPr="00486A2E">
              <w:rPr>
                <w:b/>
              </w:rPr>
              <w:t>Option C</w:t>
            </w:r>
          </w:p>
          <w:p w:rsidR="0018012E" w:rsidRPr="002C7B6F" w:rsidRDefault="00486A2E" w:rsidP="00811E71">
            <w:pPr>
              <w:spacing w:after="120"/>
              <w:rPr>
                <w:i/>
              </w:rPr>
            </w:pPr>
            <w:r w:rsidRPr="00486A2E">
              <w:rPr>
                <w:i/>
              </w:rPr>
              <w:t xml:space="preserve">Model attenuation of sediment and nutrient loading throughout watershed. Provide HUA when current loading is </w:t>
            </w:r>
            <w:r w:rsidR="00B24736">
              <w:rPr>
                <w:i/>
              </w:rPr>
              <w:t>above</w:t>
            </w:r>
            <w:r w:rsidRPr="00486A2E">
              <w:rPr>
                <w:i/>
              </w:rPr>
              <w:t xml:space="preserve"> </w:t>
            </w:r>
            <w:r w:rsidR="00B24736">
              <w:rPr>
                <w:i/>
              </w:rPr>
              <w:t>what</w:t>
            </w:r>
            <w:r w:rsidRPr="00486A2E">
              <w:rPr>
                <w:i/>
              </w:rPr>
              <w:t xml:space="preserve"> the water quality standard requires to allow for current loading to continue and to provide reserve. </w:t>
            </w:r>
          </w:p>
        </w:tc>
        <w:tc>
          <w:tcPr>
            <w:tcW w:w="5076" w:type="dxa"/>
          </w:tcPr>
          <w:p w:rsidR="00B73089" w:rsidRPr="002C7B6F" w:rsidRDefault="00486A2E" w:rsidP="0018012E">
            <w:pPr>
              <w:rPr>
                <w:b/>
              </w:rPr>
            </w:pPr>
            <w:r w:rsidRPr="00486A2E">
              <w:rPr>
                <w:b/>
              </w:rPr>
              <w:t>Option D</w:t>
            </w:r>
          </w:p>
          <w:p w:rsidR="005F29F8" w:rsidRPr="0040059B" w:rsidRDefault="000D5199" w:rsidP="0040059B">
            <w:pPr>
              <w:rPr>
                <w:i/>
              </w:rPr>
            </w:pPr>
            <w:r>
              <w:rPr>
                <w:i/>
              </w:rPr>
              <w:t>Assign</w:t>
            </w:r>
            <w:r w:rsidR="00486A2E" w:rsidRPr="00486A2E">
              <w:rPr>
                <w:i/>
              </w:rPr>
              <w:t xml:space="preserve"> load reductions </w:t>
            </w:r>
            <w:r>
              <w:rPr>
                <w:i/>
              </w:rPr>
              <w:t>to</w:t>
            </w:r>
            <w:r w:rsidR="00486A2E" w:rsidRPr="00486A2E">
              <w:rPr>
                <w:i/>
              </w:rPr>
              <w:t xml:space="preserve"> specific reaches.  Target BMP implementation in areas with highest reduction requirements, and set LAs accordingly.  </w:t>
            </w:r>
          </w:p>
          <w:p w:rsidR="0018012E" w:rsidRPr="002C7B6F" w:rsidRDefault="0018012E" w:rsidP="0018012E">
            <w:pPr>
              <w:rPr>
                <w:i/>
              </w:rPr>
            </w:pPr>
          </w:p>
        </w:tc>
      </w:tr>
    </w:tbl>
    <w:p w:rsidR="00520256" w:rsidRDefault="00520256" w:rsidP="009325AA">
      <w:pPr>
        <w:rPr>
          <w:rFonts w:asciiTheme="minorHAnsi" w:hAnsiTheme="minorHAnsi" w:cs="Arial"/>
          <w:bCs/>
          <w:i/>
          <w:highlight w:val="yellow"/>
          <w:u w:val="single"/>
        </w:rPr>
      </w:pPr>
    </w:p>
    <w:p w:rsidR="00DF63C5" w:rsidRPr="00010DA6" w:rsidRDefault="00214BF9">
      <w:pPr>
        <w:ind w:firstLine="720"/>
        <w:rPr>
          <w:i/>
          <w:sz w:val="24"/>
          <w:szCs w:val="24"/>
          <w:u w:val="single"/>
        </w:rPr>
      </w:pPr>
      <w:r w:rsidRPr="00010DA6">
        <w:rPr>
          <w:i/>
          <w:sz w:val="24"/>
          <w:szCs w:val="24"/>
          <w:u w:val="single"/>
        </w:rPr>
        <w:t>C</w:t>
      </w:r>
      <w:r w:rsidR="00486A2E" w:rsidRPr="00010DA6">
        <w:rPr>
          <w:i/>
          <w:sz w:val="24"/>
          <w:szCs w:val="24"/>
          <w:u w:val="single"/>
        </w:rPr>
        <w:t>. Surrogate measurements used to quantify TMDL-defined outcomes</w:t>
      </w:r>
    </w:p>
    <w:p w:rsidR="00120BD1" w:rsidRPr="00214BF9" w:rsidRDefault="00120BD1" w:rsidP="00494CBB">
      <w:pPr>
        <w:rPr>
          <w:sz w:val="24"/>
          <w:szCs w:val="24"/>
        </w:rPr>
      </w:pPr>
    </w:p>
    <w:p w:rsidR="0018012E" w:rsidRPr="00214BF9" w:rsidRDefault="00120BD1" w:rsidP="00494CBB">
      <w:pPr>
        <w:rPr>
          <w:sz w:val="24"/>
          <w:szCs w:val="24"/>
        </w:rPr>
      </w:pPr>
      <w:r w:rsidRPr="00214BF9">
        <w:rPr>
          <w:sz w:val="24"/>
          <w:szCs w:val="24"/>
        </w:rPr>
        <w:t>In many cases, the need for a nutrient reduction is driven by another factor, for example, algal growth, pH, or dissolved oxygen. Changes in these parameters are not surrogates, but potential progress indicators.</w:t>
      </w:r>
      <w:r w:rsidR="00872911" w:rsidRPr="00214BF9">
        <w:rPr>
          <w:sz w:val="24"/>
          <w:szCs w:val="24"/>
        </w:rPr>
        <w:t xml:space="preserve"> An ideal surrogate relates to the ecosystem’s characteristics (i.e. lake or river), has existing monitoring data, and ties load reductions of the surrogate to the particular beneficial uses that are being impaired.</w:t>
      </w:r>
    </w:p>
    <w:p w:rsidR="009423F2" w:rsidRPr="00214BF9" w:rsidRDefault="009423F2" w:rsidP="00494CBB">
      <w:pPr>
        <w:rPr>
          <w:sz w:val="24"/>
          <w:szCs w:val="24"/>
        </w:rPr>
      </w:pPr>
    </w:p>
    <w:p w:rsidR="00DF63C5" w:rsidRDefault="00486A2E">
      <w:pPr>
        <w:pStyle w:val="ListParagraph"/>
        <w:numPr>
          <w:ilvl w:val="0"/>
          <w:numId w:val="10"/>
        </w:numPr>
        <w:rPr>
          <w:rFonts w:asciiTheme="minorHAnsi" w:hAnsiTheme="minorHAnsi" w:cs="Arial"/>
          <w:bCs/>
          <w:i/>
          <w:sz w:val="24"/>
          <w:szCs w:val="24"/>
        </w:rPr>
      </w:pPr>
      <w:r w:rsidRPr="00486A2E">
        <w:rPr>
          <w:b/>
          <w:sz w:val="24"/>
          <w:szCs w:val="24"/>
        </w:rPr>
        <w:t>Idaho Example</w:t>
      </w:r>
      <w:r w:rsidR="009423F2" w:rsidRPr="00214BF9">
        <w:rPr>
          <w:sz w:val="24"/>
          <w:szCs w:val="24"/>
        </w:rPr>
        <w:t xml:space="preserve">: </w:t>
      </w:r>
      <w:r w:rsidRPr="00486A2E">
        <w:rPr>
          <w:rFonts w:asciiTheme="minorHAnsi" w:hAnsiTheme="minorHAnsi" w:cs="Arial"/>
          <w:bCs/>
          <w:sz w:val="24"/>
          <w:szCs w:val="24"/>
        </w:rPr>
        <w:t>Idaho often uses percent bank stability as a surrogate for sediment.</w:t>
      </w:r>
    </w:p>
    <w:p w:rsidR="00DF63C5" w:rsidRDefault="00486A2E">
      <w:pPr>
        <w:pStyle w:val="ListParagraph"/>
        <w:numPr>
          <w:ilvl w:val="0"/>
          <w:numId w:val="10"/>
        </w:numPr>
        <w:rPr>
          <w:rFonts w:asciiTheme="minorHAnsi" w:hAnsiTheme="minorHAnsi" w:cs="Arial"/>
          <w:bCs/>
          <w:sz w:val="24"/>
          <w:szCs w:val="24"/>
        </w:rPr>
      </w:pPr>
      <w:r w:rsidRPr="00486A2E">
        <w:rPr>
          <w:rFonts w:asciiTheme="minorHAnsi" w:hAnsiTheme="minorHAnsi" w:cs="Arial"/>
          <w:b/>
          <w:bCs/>
          <w:sz w:val="24"/>
          <w:szCs w:val="24"/>
        </w:rPr>
        <w:t>Oregon Example</w:t>
      </w:r>
      <w:r w:rsidRPr="00486A2E">
        <w:rPr>
          <w:rFonts w:asciiTheme="minorHAnsi" w:hAnsiTheme="minorHAnsi" w:cs="Arial"/>
          <w:bCs/>
          <w:sz w:val="24"/>
          <w:szCs w:val="24"/>
        </w:rPr>
        <w:t>:</w:t>
      </w:r>
      <w:r w:rsidRPr="00486A2E">
        <w:rPr>
          <w:rFonts w:asciiTheme="minorHAnsi" w:hAnsiTheme="minorHAnsi" w:cs="Arial"/>
          <w:bCs/>
          <w:i/>
          <w:sz w:val="24"/>
          <w:szCs w:val="24"/>
        </w:rPr>
        <w:t xml:space="preserve"> </w:t>
      </w:r>
      <w:r w:rsidRPr="00486A2E">
        <w:rPr>
          <w:rFonts w:asciiTheme="minorHAnsi" w:hAnsiTheme="minorHAnsi" w:cs="Arial"/>
          <w:bCs/>
          <w:sz w:val="24"/>
          <w:szCs w:val="24"/>
        </w:rPr>
        <w:t xml:space="preserve">Percent embeddedness in Wolman pebble count used as surrogate for depositional sediment in </w:t>
      </w:r>
      <w:r w:rsidR="00DC1216">
        <w:rPr>
          <w:rFonts w:asciiTheme="minorHAnsi" w:hAnsiTheme="minorHAnsi" w:cs="Arial"/>
          <w:bCs/>
          <w:sz w:val="24"/>
          <w:szCs w:val="24"/>
        </w:rPr>
        <w:t xml:space="preserve">one </w:t>
      </w:r>
      <w:r w:rsidRPr="00486A2E">
        <w:rPr>
          <w:rFonts w:asciiTheme="minorHAnsi" w:hAnsiTheme="minorHAnsi" w:cs="Arial"/>
          <w:bCs/>
          <w:sz w:val="24"/>
          <w:szCs w:val="24"/>
        </w:rPr>
        <w:t>Oregon</w:t>
      </w:r>
      <w:r w:rsidR="00DC1216">
        <w:rPr>
          <w:rFonts w:asciiTheme="minorHAnsi" w:hAnsiTheme="minorHAnsi" w:cs="Arial"/>
          <w:bCs/>
          <w:sz w:val="24"/>
          <w:szCs w:val="24"/>
        </w:rPr>
        <w:t xml:space="preserve"> TMDL reviewed</w:t>
      </w:r>
      <w:r w:rsidRPr="00486A2E">
        <w:rPr>
          <w:rFonts w:asciiTheme="minorHAnsi" w:hAnsiTheme="minorHAnsi" w:cs="Arial"/>
          <w:bCs/>
          <w:sz w:val="24"/>
          <w:szCs w:val="24"/>
        </w:rPr>
        <w:t>.</w:t>
      </w:r>
      <w:r w:rsidRPr="00486A2E">
        <w:rPr>
          <w:rFonts w:asciiTheme="minorHAnsi" w:hAnsiTheme="minorHAnsi" w:cs="Arial"/>
          <w:bCs/>
          <w:sz w:val="24"/>
          <w:szCs w:val="24"/>
        </w:rPr>
        <w:br/>
      </w:r>
      <w:r w:rsidRPr="00486A2E">
        <w:rPr>
          <w:rFonts w:asciiTheme="minorHAnsi" w:hAnsiTheme="minorHAnsi" w:cs="Arial"/>
          <w:b/>
          <w:bCs/>
          <w:sz w:val="24"/>
          <w:szCs w:val="24"/>
        </w:rPr>
        <w:t>Washington Example</w:t>
      </w:r>
      <w:r w:rsidRPr="00486A2E">
        <w:rPr>
          <w:rFonts w:asciiTheme="minorHAnsi" w:hAnsiTheme="minorHAnsi" w:cs="Arial"/>
          <w:bCs/>
          <w:sz w:val="24"/>
          <w:szCs w:val="24"/>
        </w:rPr>
        <w:t xml:space="preserve">: Turbidity </w:t>
      </w:r>
      <w:r w:rsidR="00DC1216">
        <w:rPr>
          <w:rFonts w:asciiTheme="minorHAnsi" w:hAnsiTheme="minorHAnsi" w:cs="Arial"/>
          <w:bCs/>
          <w:sz w:val="24"/>
          <w:szCs w:val="24"/>
        </w:rPr>
        <w:t xml:space="preserve">was </w:t>
      </w:r>
      <w:r w:rsidRPr="00486A2E">
        <w:rPr>
          <w:rFonts w:asciiTheme="minorHAnsi" w:hAnsiTheme="minorHAnsi" w:cs="Arial"/>
          <w:bCs/>
          <w:sz w:val="24"/>
          <w:szCs w:val="24"/>
        </w:rPr>
        <w:t xml:space="preserve">used as a surrogate for suspended sediment in </w:t>
      </w:r>
      <w:r w:rsidR="00DC1216">
        <w:rPr>
          <w:rFonts w:asciiTheme="minorHAnsi" w:hAnsiTheme="minorHAnsi" w:cs="Arial"/>
          <w:bCs/>
          <w:sz w:val="24"/>
          <w:szCs w:val="24"/>
        </w:rPr>
        <w:t xml:space="preserve">some of the </w:t>
      </w:r>
      <w:r w:rsidRPr="00486A2E">
        <w:rPr>
          <w:rFonts w:asciiTheme="minorHAnsi" w:hAnsiTheme="minorHAnsi" w:cs="Arial"/>
          <w:bCs/>
          <w:sz w:val="24"/>
          <w:szCs w:val="24"/>
        </w:rPr>
        <w:t>Washington</w:t>
      </w:r>
      <w:r w:rsidR="00DC1216">
        <w:rPr>
          <w:rFonts w:asciiTheme="minorHAnsi" w:hAnsiTheme="minorHAnsi" w:cs="Arial"/>
          <w:bCs/>
          <w:sz w:val="24"/>
          <w:szCs w:val="24"/>
        </w:rPr>
        <w:t xml:space="preserve"> TMDLs reviewed</w:t>
      </w:r>
      <w:r w:rsidRPr="00486A2E">
        <w:rPr>
          <w:rFonts w:asciiTheme="minorHAnsi" w:hAnsiTheme="minorHAnsi" w:cs="Arial"/>
          <w:bCs/>
          <w:sz w:val="24"/>
          <w:szCs w:val="24"/>
        </w:rPr>
        <w:t xml:space="preserve">. </w:t>
      </w:r>
    </w:p>
    <w:p w:rsidR="008216FB" w:rsidRDefault="008216FB">
      <w:pPr>
        <w:pStyle w:val="Default"/>
        <w:rPr>
          <w:rFonts w:asciiTheme="minorHAnsi" w:hAnsiTheme="minorHAnsi" w:cs="Arial"/>
          <w:bCs/>
        </w:rPr>
      </w:pPr>
    </w:p>
    <w:p w:rsidR="00C014D6" w:rsidRPr="00541476" w:rsidRDefault="00C014D6" w:rsidP="00C014D6">
      <w:pPr>
        <w:pStyle w:val="Heading3"/>
      </w:pPr>
      <w:bookmarkStart w:id="5" w:name="_Toc230884243"/>
      <w:r>
        <w:t>2.3.</w:t>
      </w:r>
      <w:r w:rsidR="00811E71">
        <w:t>2</w:t>
      </w:r>
      <w:r w:rsidRPr="00541476">
        <w:t xml:space="preserve">. </w:t>
      </w:r>
      <w:r w:rsidR="006D6D9B">
        <w:t>Deriving, e</w:t>
      </w:r>
      <w:r>
        <w:t>xpressing</w:t>
      </w:r>
      <w:r w:rsidR="006D6D9B">
        <w:t>,</w:t>
      </w:r>
      <w:r>
        <w:t xml:space="preserve"> and applying regulatory baseline</w:t>
      </w:r>
      <w:bookmarkEnd w:id="5"/>
    </w:p>
    <w:p w:rsidR="00C014D6" w:rsidRDefault="00C014D6" w:rsidP="00C014D6">
      <w:pPr>
        <w:pStyle w:val="Default"/>
        <w:spacing w:before="120" w:after="120"/>
        <w:rPr>
          <w:rFonts w:asciiTheme="minorHAnsi" w:hAnsiTheme="minorHAnsi" w:cs="Arial"/>
          <w:bCs/>
        </w:rPr>
      </w:pPr>
      <w:r>
        <w:rPr>
          <w:rFonts w:asciiTheme="minorHAnsi" w:hAnsiTheme="minorHAnsi" w:cs="Arial"/>
          <w:bCs/>
        </w:rPr>
        <w:t xml:space="preserve">Across trading programs, there is variability in how baseline requirements are set. First, some programs require the adoption of a minimum set of BMPs (e.g. a farm plan or filter strips) prior to allowing a nonpoint project to generate credits, whereas other programs require nonpoint sources to generate a percentage of pollution reduction (e.g. 20% reduction in nutrient loading) prior to allowing that nonpoint source to sell credits). Second, very few trading programs define a specific load reduction target for an individual farm or riparian landowner (e.g. reduce 20 lbs TP/year). Third, </w:t>
      </w:r>
      <w:r w:rsidR="00010DA6">
        <w:rPr>
          <w:rFonts w:asciiTheme="minorHAnsi" w:hAnsiTheme="minorHAnsi" w:cs="Arial"/>
          <w:bCs/>
        </w:rPr>
        <w:t>trading programs vary in terms of whether</w:t>
      </w:r>
      <w:r>
        <w:rPr>
          <w:rFonts w:asciiTheme="minorHAnsi" w:hAnsiTheme="minorHAnsi" w:cs="Arial"/>
          <w:bCs/>
        </w:rPr>
        <w:t xml:space="preserve"> individual farms </w:t>
      </w:r>
      <w:r w:rsidR="00010DA6">
        <w:rPr>
          <w:rFonts w:asciiTheme="minorHAnsi" w:hAnsiTheme="minorHAnsi" w:cs="Arial"/>
          <w:bCs/>
        </w:rPr>
        <w:t>must</w:t>
      </w:r>
      <w:r>
        <w:rPr>
          <w:rFonts w:asciiTheme="minorHAnsi" w:hAnsiTheme="minorHAnsi" w:cs="Arial"/>
          <w:bCs/>
        </w:rPr>
        <w:t xml:space="preserve"> meet baselines </w:t>
      </w:r>
      <w:r w:rsidR="00010DA6">
        <w:rPr>
          <w:rFonts w:asciiTheme="minorHAnsi" w:hAnsiTheme="minorHAnsi" w:cs="Arial"/>
          <w:bCs/>
        </w:rPr>
        <w:t xml:space="preserve">prior to trading </w:t>
      </w:r>
      <w:r>
        <w:rPr>
          <w:rFonts w:asciiTheme="minorHAnsi" w:hAnsiTheme="minorHAnsi" w:cs="Arial"/>
          <w:bCs/>
        </w:rPr>
        <w:t xml:space="preserve">or whether whole groups of farmers in a watershed need to meet their load allocation prior to trading. Finally, trading programs </w:t>
      </w:r>
      <w:r w:rsidR="00010DA6">
        <w:rPr>
          <w:rFonts w:asciiTheme="minorHAnsi" w:hAnsiTheme="minorHAnsi" w:cs="Arial"/>
          <w:bCs/>
        </w:rPr>
        <w:t>vary as to how they</w:t>
      </w:r>
      <w:r>
        <w:rPr>
          <w:rFonts w:asciiTheme="minorHAnsi" w:hAnsiTheme="minorHAnsi" w:cs="Arial"/>
          <w:bCs/>
        </w:rPr>
        <w:t xml:space="preserve"> identify a date after which implemented BMPs are eligible to generate credits.</w:t>
      </w:r>
    </w:p>
    <w:p w:rsidR="00CC4737" w:rsidRDefault="00CC4737" w:rsidP="00C014D6">
      <w:pPr>
        <w:pStyle w:val="Default"/>
        <w:spacing w:before="120" w:after="120"/>
        <w:rPr>
          <w:rFonts w:asciiTheme="minorHAnsi" w:hAnsiTheme="minorHAnsi" w:cs="Arial"/>
          <w:bCs/>
        </w:rPr>
      </w:pPr>
    </w:p>
    <w:p w:rsidR="0085044F" w:rsidRDefault="0085044F" w:rsidP="0085044F">
      <w:pPr>
        <w:pStyle w:val="ListParagraph"/>
        <w:numPr>
          <w:ilvl w:val="0"/>
          <w:numId w:val="2"/>
        </w:numPr>
        <w:spacing w:before="240" w:after="120" w:line="276" w:lineRule="auto"/>
        <w:rPr>
          <w:rFonts w:asciiTheme="minorHAnsi" w:hAnsiTheme="minorHAnsi" w:cs="Arial"/>
          <w:bCs/>
          <w:i/>
          <w:sz w:val="24"/>
          <w:szCs w:val="24"/>
          <w:u w:val="single"/>
        </w:rPr>
      </w:pPr>
      <w:r w:rsidRPr="00B679E1">
        <w:rPr>
          <w:rFonts w:asciiTheme="minorHAnsi" w:hAnsiTheme="minorHAnsi" w:cs="Arial"/>
          <w:bCs/>
          <w:i/>
          <w:noProof/>
          <w:sz w:val="24"/>
          <w:szCs w:val="24"/>
          <w:u w:val="single"/>
        </w:rPr>
        <w:lastRenderedPageBreak/>
        <w:t xml:space="preserve">Expressing </w:t>
      </w:r>
      <w:r>
        <w:rPr>
          <w:rFonts w:asciiTheme="minorHAnsi" w:hAnsiTheme="minorHAnsi" w:cs="Arial"/>
          <w:bCs/>
          <w:i/>
          <w:noProof/>
          <w:sz w:val="24"/>
          <w:szCs w:val="24"/>
          <w:u w:val="single"/>
        </w:rPr>
        <w:t xml:space="preserve">regulatory </w:t>
      </w:r>
      <w:r w:rsidRPr="00B679E1">
        <w:rPr>
          <w:rFonts w:asciiTheme="minorHAnsi" w:hAnsiTheme="minorHAnsi" w:cs="Arial"/>
          <w:bCs/>
          <w:i/>
          <w:noProof/>
          <w:sz w:val="24"/>
          <w:szCs w:val="24"/>
          <w:u w:val="single"/>
        </w:rPr>
        <w:t>baseline</w:t>
      </w:r>
      <w:r>
        <w:rPr>
          <w:rFonts w:asciiTheme="minorHAnsi" w:hAnsiTheme="minorHAnsi" w:cs="Arial"/>
          <w:bCs/>
          <w:i/>
          <w:noProof/>
          <w:sz w:val="24"/>
          <w:szCs w:val="24"/>
          <w:u w:val="single"/>
        </w:rPr>
        <w:t xml:space="preserve"> </w:t>
      </w:r>
    </w:p>
    <w:p w:rsidR="0085044F" w:rsidRDefault="0085044F" w:rsidP="0040059B">
      <w:pPr>
        <w:pStyle w:val="Default"/>
        <w:numPr>
          <w:ilvl w:val="0"/>
          <w:numId w:val="12"/>
        </w:numPr>
        <w:spacing w:before="240" w:after="120"/>
        <w:rPr>
          <w:rFonts w:asciiTheme="minorHAnsi" w:hAnsiTheme="minorHAnsi" w:cs="Arial"/>
          <w:b/>
          <w:bCs/>
        </w:rPr>
      </w:pPr>
      <w:r>
        <w:rPr>
          <w:rFonts w:asciiTheme="minorHAnsi" w:hAnsiTheme="minorHAnsi" w:cs="Arial"/>
          <w:b/>
          <w:bCs/>
        </w:rPr>
        <w:t>Options and e</w:t>
      </w:r>
      <w:r w:rsidRPr="00E441D9">
        <w:rPr>
          <w:rFonts w:asciiTheme="minorHAnsi" w:hAnsiTheme="minorHAnsi" w:cs="Arial"/>
          <w:b/>
          <w:bCs/>
        </w:rPr>
        <w:t>xamples</w:t>
      </w:r>
    </w:p>
    <w:tbl>
      <w:tblPr>
        <w:tblStyle w:val="TableGrid"/>
        <w:tblW w:w="0" w:type="auto"/>
        <w:tblInd w:w="360" w:type="dxa"/>
        <w:tblLook w:val="04A0" w:firstRow="1" w:lastRow="0" w:firstColumn="1" w:lastColumn="0" w:noHBand="0" w:noVBand="1"/>
      </w:tblPr>
      <w:tblGrid>
        <w:gridCol w:w="4904"/>
        <w:gridCol w:w="4888"/>
      </w:tblGrid>
      <w:tr w:rsidR="00A375E1" w:rsidTr="00A375E1">
        <w:trPr>
          <w:trHeight w:val="5370"/>
        </w:trPr>
        <w:tc>
          <w:tcPr>
            <w:tcW w:w="4904" w:type="dxa"/>
          </w:tcPr>
          <w:p w:rsidR="00A375E1" w:rsidRPr="00E441D9" w:rsidRDefault="00A375E1" w:rsidP="00427AE4">
            <w:pPr>
              <w:rPr>
                <w:b/>
              </w:rPr>
            </w:pPr>
            <w:r w:rsidRPr="00E441D9">
              <w:rPr>
                <w:b/>
              </w:rPr>
              <w:t>Option A</w:t>
            </w:r>
          </w:p>
          <w:p w:rsidR="00A375E1" w:rsidRDefault="00A375E1" w:rsidP="00427AE4">
            <w:pPr>
              <w:rPr>
                <w:i/>
                <w:color w:val="FF0000"/>
              </w:rPr>
            </w:pPr>
            <w:r>
              <w:rPr>
                <w:i/>
              </w:rPr>
              <w:t>Baseline requirements are expressed as a minimum set of BMPs that must be implemented at all project sites before credits can be generated.</w:t>
            </w:r>
          </w:p>
          <w:p w:rsidR="00A375E1" w:rsidRDefault="00A375E1" w:rsidP="00427AE4">
            <w:pPr>
              <w:rPr>
                <w:rFonts w:asciiTheme="minorHAnsi" w:hAnsiTheme="minorHAnsi"/>
                <w:b/>
              </w:rPr>
            </w:pPr>
          </w:p>
          <w:p w:rsidR="00A375E1" w:rsidRDefault="00A375E1" w:rsidP="0040059B">
            <w:pPr>
              <w:rPr>
                <w:rFonts w:asciiTheme="minorHAnsi" w:hAnsiTheme="minorHAnsi"/>
                <w:b/>
              </w:rPr>
            </w:pPr>
          </w:p>
          <w:p w:rsidR="00A375E1" w:rsidRDefault="00A375E1" w:rsidP="0040059B">
            <w:pPr>
              <w:rPr>
                <w:rFonts w:asciiTheme="minorHAnsi" w:hAnsiTheme="minorHAnsi"/>
              </w:rPr>
            </w:pPr>
            <w:r>
              <w:rPr>
                <w:rFonts w:asciiTheme="minorHAnsi" w:hAnsiTheme="minorHAnsi"/>
                <w:b/>
              </w:rPr>
              <w:t>Pros and Cons</w:t>
            </w:r>
          </w:p>
          <w:p w:rsidR="00A375E1" w:rsidRDefault="00A375E1" w:rsidP="00F90767">
            <w:pPr>
              <w:rPr>
                <w:rFonts w:asciiTheme="minorHAnsi" w:hAnsiTheme="minorHAnsi" w:cs="Arial"/>
                <w:b/>
                <w:bCs/>
              </w:rPr>
            </w:pPr>
            <w:r w:rsidRPr="00B679E1">
              <w:rPr>
                <w:rFonts w:asciiTheme="minorHAnsi" w:hAnsiTheme="minorHAnsi"/>
              </w:rPr>
              <w:t xml:space="preserve">Defining minimum BMPs ensures that the most </w:t>
            </w:r>
            <w:r>
              <w:rPr>
                <w:rFonts w:asciiTheme="minorHAnsi" w:hAnsiTheme="minorHAnsi"/>
              </w:rPr>
              <w:t>efficient</w:t>
            </w:r>
            <w:r w:rsidRPr="00B679E1">
              <w:rPr>
                <w:rFonts w:asciiTheme="minorHAnsi" w:hAnsiTheme="minorHAnsi"/>
              </w:rPr>
              <w:t xml:space="preserve"> BMPs </w:t>
            </w:r>
            <w:r>
              <w:rPr>
                <w:rFonts w:asciiTheme="minorHAnsi" w:hAnsiTheme="minorHAnsi"/>
              </w:rPr>
              <w:t>are</w:t>
            </w:r>
            <w:r w:rsidRPr="00B679E1">
              <w:rPr>
                <w:rFonts w:asciiTheme="minorHAnsi" w:hAnsiTheme="minorHAnsi"/>
              </w:rPr>
              <w:t xml:space="preserve"> implemented</w:t>
            </w:r>
            <w:r w:rsidRPr="00B679E1">
              <w:rPr>
                <w:rFonts w:asciiTheme="minorHAnsi" w:hAnsiTheme="minorHAnsi" w:cs="Arial"/>
                <w:bCs/>
              </w:rPr>
              <w:t>. This works well when</w:t>
            </w:r>
            <w:r>
              <w:rPr>
                <w:i/>
              </w:rPr>
              <w:t xml:space="preserve"> </w:t>
            </w:r>
            <w:r w:rsidRPr="00D568DD">
              <w:t>required BMPs are defined in TMDLs and/or state policy and where</w:t>
            </w:r>
            <w:r>
              <w:rPr>
                <w:i/>
              </w:rPr>
              <w:t xml:space="preserve"> </w:t>
            </w:r>
            <w:r>
              <w:rPr>
                <w:rFonts w:asciiTheme="minorHAnsi" w:hAnsiTheme="minorHAnsi" w:cs="Arial"/>
                <w:bCs/>
              </w:rPr>
              <w:t>BMP efficiency is consistent throughout the watershed and adoption is likely. T</w:t>
            </w:r>
            <w:r w:rsidRPr="00B679E1">
              <w:rPr>
                <w:rFonts w:asciiTheme="minorHAnsi" w:hAnsiTheme="minorHAnsi" w:cs="Arial"/>
                <w:bCs/>
              </w:rPr>
              <w:t xml:space="preserve">his approach </w:t>
            </w:r>
            <w:r>
              <w:rPr>
                <w:rFonts w:asciiTheme="minorHAnsi" w:hAnsiTheme="minorHAnsi" w:cs="Arial"/>
                <w:bCs/>
              </w:rPr>
              <w:t>provides targeted recommendations for BMP implementation. One drawback</w:t>
            </w:r>
            <w:r w:rsidRPr="00B679E1">
              <w:rPr>
                <w:rFonts w:asciiTheme="minorHAnsi" w:hAnsiTheme="minorHAnsi" w:cs="Arial"/>
                <w:bCs/>
              </w:rPr>
              <w:t xml:space="preserve"> is that </w:t>
            </w:r>
            <w:r>
              <w:rPr>
                <w:rFonts w:asciiTheme="minorHAnsi" w:hAnsiTheme="minorHAnsi" w:cs="Arial"/>
                <w:bCs/>
              </w:rPr>
              <w:t>t</w:t>
            </w:r>
            <w:r w:rsidRPr="00B679E1">
              <w:rPr>
                <w:rFonts w:asciiTheme="minorHAnsi" w:hAnsiTheme="minorHAnsi" w:cs="Arial"/>
                <w:bCs/>
              </w:rPr>
              <w:t xml:space="preserve">his approach can reduce flexibility for farmers to design BMPs to reduce pollution and meet the needs of their operations. </w:t>
            </w:r>
            <w:r>
              <w:rPr>
                <w:rFonts w:asciiTheme="minorHAnsi" w:hAnsiTheme="minorHAnsi" w:cs="Arial"/>
                <w:bCs/>
              </w:rPr>
              <w:t xml:space="preserve">Another drawback is that BMP efficiency is highly dependent on local soil type, slope, crop rotation, etc.—blanket application of BMPs may result in an inefficient use of resources because </w:t>
            </w:r>
            <w:r w:rsidRPr="00B679E1">
              <w:rPr>
                <w:rFonts w:asciiTheme="minorHAnsi" w:hAnsiTheme="minorHAnsi"/>
              </w:rPr>
              <w:t>high priority BMPs may not be implemented in favor of BMPs with the lowest cost</w:t>
            </w:r>
            <w:r>
              <w:rPr>
                <w:rFonts w:asciiTheme="minorHAnsi" w:hAnsiTheme="minorHAnsi"/>
              </w:rPr>
              <w:t>s</w:t>
            </w:r>
            <w:r>
              <w:rPr>
                <w:rFonts w:asciiTheme="minorHAnsi" w:hAnsiTheme="minorHAnsi" w:cs="Arial"/>
                <w:bCs/>
              </w:rPr>
              <w:t xml:space="preserve">. </w:t>
            </w:r>
            <w:r w:rsidRPr="00486A2E">
              <w:rPr>
                <w:rFonts w:asciiTheme="minorHAnsi" w:hAnsiTheme="minorHAnsi" w:cs="Arial"/>
                <w:bCs/>
              </w:rPr>
              <w:t xml:space="preserve">Virginia </w:t>
            </w:r>
            <w:r w:rsidRPr="00B679E1">
              <w:rPr>
                <w:rFonts w:asciiTheme="minorHAnsi" w:hAnsiTheme="minorHAnsi" w:cs="Arial"/>
                <w:bCs/>
              </w:rPr>
              <w:t xml:space="preserve">and </w:t>
            </w:r>
            <w:r>
              <w:rPr>
                <w:rFonts w:asciiTheme="minorHAnsi" w:hAnsiTheme="minorHAnsi" w:cs="Arial"/>
                <w:bCs/>
              </w:rPr>
              <w:t xml:space="preserve">Pennsylvania </w:t>
            </w:r>
            <w:r w:rsidRPr="00B679E1">
              <w:rPr>
                <w:rFonts w:asciiTheme="minorHAnsi" w:hAnsiTheme="minorHAnsi" w:cs="Arial"/>
                <w:bCs/>
              </w:rPr>
              <w:t>express baselines this way.</w:t>
            </w:r>
            <w:r w:rsidR="00F90767">
              <w:rPr>
                <w:rStyle w:val="FootnoteReference"/>
                <w:rFonts w:asciiTheme="minorHAnsi" w:hAnsiTheme="minorHAnsi"/>
                <w:bCs/>
              </w:rPr>
              <w:footnoteReference w:id="7"/>
            </w:r>
          </w:p>
        </w:tc>
        <w:tc>
          <w:tcPr>
            <w:tcW w:w="4888" w:type="dxa"/>
          </w:tcPr>
          <w:p w:rsidR="00A375E1" w:rsidRPr="00101FAD" w:rsidRDefault="00A375E1" w:rsidP="008E3E11">
            <w:pPr>
              <w:rPr>
                <w:rFonts w:asciiTheme="minorHAnsi" w:hAnsiTheme="minorHAnsi"/>
                <w:b/>
              </w:rPr>
            </w:pPr>
            <w:r>
              <w:rPr>
                <w:rFonts w:asciiTheme="minorHAnsi" w:hAnsiTheme="minorHAnsi"/>
                <w:b/>
              </w:rPr>
              <w:t>Option B</w:t>
            </w:r>
          </w:p>
          <w:p w:rsidR="00A375E1" w:rsidRDefault="00A375E1" w:rsidP="008E3E11">
            <w:pPr>
              <w:rPr>
                <w:i/>
              </w:rPr>
            </w:pPr>
            <w:r>
              <w:rPr>
                <w:i/>
              </w:rPr>
              <w:t xml:space="preserve">Baseline requirements are expressed as particular BMPs that must be implemented in priority areas identified by the TMDL as particularly high value areas for those particular actions. </w:t>
            </w:r>
          </w:p>
          <w:p w:rsidR="00A375E1" w:rsidRPr="00101FAD" w:rsidRDefault="00A375E1" w:rsidP="008E3E11">
            <w:pPr>
              <w:rPr>
                <w:rFonts w:asciiTheme="minorHAnsi" w:hAnsiTheme="minorHAnsi"/>
              </w:rPr>
            </w:pPr>
          </w:p>
          <w:p w:rsidR="00A375E1" w:rsidRPr="00101FAD" w:rsidRDefault="00A375E1" w:rsidP="008E3E11">
            <w:pPr>
              <w:rPr>
                <w:rFonts w:asciiTheme="minorHAnsi" w:hAnsiTheme="minorHAnsi"/>
                <w:b/>
              </w:rPr>
            </w:pPr>
            <w:r w:rsidRPr="00101FAD">
              <w:rPr>
                <w:rFonts w:asciiTheme="minorHAnsi" w:hAnsiTheme="minorHAnsi"/>
                <w:b/>
              </w:rPr>
              <w:t>Pros and Cons</w:t>
            </w:r>
          </w:p>
          <w:p w:rsidR="00876B32" w:rsidRDefault="00A375E1" w:rsidP="008E3E11">
            <w:r w:rsidRPr="00D479B8">
              <w:t xml:space="preserve">This means that baseline requirements would apply at a project site if the site is located within a priority area identified by the TMDL for a particular BMP action, but not if the particular action is outside of these “baseline” areas.  </w:t>
            </w:r>
          </w:p>
          <w:p w:rsidR="00876B32" w:rsidRDefault="00876B32" w:rsidP="008E3E11"/>
          <w:p w:rsidR="00A375E1" w:rsidRPr="00D479B8" w:rsidDel="004662B2" w:rsidRDefault="00A375E1" w:rsidP="008E3E11">
            <w:r w:rsidRPr="00D479B8">
              <w:rPr>
                <w:rFonts w:asciiTheme="minorHAnsi" w:hAnsiTheme="minorHAnsi"/>
              </w:rPr>
              <w:t>Defining minimum BMP targets for selected BMPs gives DMAs the ability to select the most efficient BMPs and target implementation at appropriate rates/locations within the watershed</w:t>
            </w:r>
            <w:r w:rsidRPr="00D479B8">
              <w:rPr>
                <w:rFonts w:asciiTheme="minorHAnsi" w:hAnsiTheme="minorHAnsi" w:cs="Arial"/>
                <w:bCs/>
              </w:rPr>
              <w:t>. Under this approach, however, there is an incentive for farmers to hold out on adopting BMPs until the baseline is met and they have the opportunity to generate credits (and revenue).</w:t>
            </w:r>
          </w:p>
          <w:p w:rsidR="00A375E1" w:rsidRDefault="00A375E1" w:rsidP="00427AE4">
            <w:pPr>
              <w:rPr>
                <w:b/>
              </w:rPr>
            </w:pPr>
          </w:p>
          <w:p w:rsidR="00A375E1" w:rsidRPr="00D568DD" w:rsidRDefault="00A375E1" w:rsidP="008E3E11"/>
        </w:tc>
      </w:tr>
      <w:tr w:rsidR="000D56C1" w:rsidTr="000D56C1">
        <w:trPr>
          <w:trHeight w:val="2987"/>
        </w:trPr>
        <w:tc>
          <w:tcPr>
            <w:tcW w:w="9792" w:type="dxa"/>
            <w:gridSpan w:val="2"/>
          </w:tcPr>
          <w:p w:rsidR="000D56C1" w:rsidRDefault="000D56C1" w:rsidP="000D56C1">
            <w:pPr>
              <w:rPr>
                <w:b/>
              </w:rPr>
            </w:pPr>
            <w:r>
              <w:rPr>
                <w:b/>
              </w:rPr>
              <w:t>Option C</w:t>
            </w:r>
          </w:p>
          <w:p w:rsidR="000D56C1" w:rsidRDefault="000D56C1" w:rsidP="000D56C1">
            <w:pPr>
              <w:rPr>
                <w:i/>
                <w:color w:val="FF0000"/>
              </w:rPr>
            </w:pPr>
            <w:r>
              <w:rPr>
                <w:i/>
              </w:rPr>
              <w:t xml:space="preserve">All project developers must reduce </w:t>
            </w:r>
            <w:r w:rsidRPr="00B679E1">
              <w:rPr>
                <w:i/>
                <w:u w:val="single"/>
              </w:rPr>
              <w:t>X</w:t>
            </w:r>
            <w:r>
              <w:rPr>
                <w:i/>
              </w:rPr>
              <w:t>% or an absolute load (</w:t>
            </w:r>
            <w:r w:rsidR="00F90767">
              <w:rPr>
                <w:i/>
              </w:rPr>
              <w:t>e.g.</w:t>
            </w:r>
            <w:r>
              <w:rPr>
                <w:i/>
              </w:rPr>
              <w:t xml:space="preserve"> lbs) of pollution at a project site prior to generating credits.</w:t>
            </w:r>
          </w:p>
          <w:p w:rsidR="000D56C1" w:rsidRDefault="000D56C1" w:rsidP="000D56C1">
            <w:pPr>
              <w:rPr>
                <w:rFonts w:asciiTheme="minorHAnsi" w:hAnsiTheme="minorHAnsi"/>
                <w:b/>
              </w:rPr>
            </w:pPr>
          </w:p>
          <w:p w:rsidR="000D56C1" w:rsidRDefault="000D56C1" w:rsidP="000D56C1">
            <w:pPr>
              <w:rPr>
                <w:rFonts w:asciiTheme="minorHAnsi" w:hAnsiTheme="minorHAnsi"/>
              </w:rPr>
            </w:pPr>
            <w:r>
              <w:rPr>
                <w:rFonts w:asciiTheme="minorHAnsi" w:hAnsiTheme="minorHAnsi"/>
                <w:b/>
              </w:rPr>
              <w:t>Pros and Cons</w:t>
            </w:r>
          </w:p>
          <w:p w:rsidR="000D56C1" w:rsidRDefault="000D56C1" w:rsidP="00F90767">
            <w:pPr>
              <w:rPr>
                <w:rFonts w:asciiTheme="minorHAnsi" w:hAnsiTheme="minorHAnsi"/>
                <w:b/>
              </w:rPr>
            </w:pPr>
            <w:r w:rsidRPr="00B679E1">
              <w:rPr>
                <w:rFonts w:asciiTheme="minorHAnsi" w:hAnsiTheme="minorHAnsi"/>
              </w:rPr>
              <w:t xml:space="preserve">This approach provides more flexibility to project developers in how they achieve pollution reductions. </w:t>
            </w:r>
            <w:r>
              <w:rPr>
                <w:rFonts w:asciiTheme="minorHAnsi" w:hAnsiTheme="minorHAnsi"/>
              </w:rPr>
              <w:t>It also a</w:t>
            </w:r>
            <w:r w:rsidRPr="00B679E1">
              <w:rPr>
                <w:rFonts w:asciiTheme="minorHAnsi" w:hAnsiTheme="minorHAnsi"/>
              </w:rPr>
              <w:t>llows for easier connection of reductions back to L</w:t>
            </w:r>
            <w:r>
              <w:rPr>
                <w:rFonts w:asciiTheme="minorHAnsi" w:hAnsiTheme="minorHAnsi"/>
              </w:rPr>
              <w:t>A</w:t>
            </w:r>
            <w:r w:rsidRPr="00B679E1">
              <w:rPr>
                <w:rFonts w:asciiTheme="minorHAnsi" w:hAnsiTheme="minorHAnsi"/>
              </w:rPr>
              <w:t xml:space="preserve"> targets in the TMDL. As a drawback, high priority BMPs may not be implemented in favor of BMPs with the lowest cost per pound of the target pollutant removed. </w:t>
            </w:r>
            <w:r w:rsidRPr="008E3E11">
              <w:rPr>
                <w:rFonts w:asciiTheme="minorHAnsi" w:hAnsiTheme="minorHAnsi"/>
              </w:rPr>
              <w:t xml:space="preserve">Additionally, using an absolute load may introduce issues of equity because it may be far easier for </w:t>
            </w:r>
            <w:r w:rsidR="00F90767">
              <w:rPr>
                <w:rFonts w:asciiTheme="minorHAnsi" w:hAnsiTheme="minorHAnsi"/>
              </w:rPr>
              <w:t>“</w:t>
            </w:r>
            <w:r w:rsidRPr="008E3E11">
              <w:rPr>
                <w:rFonts w:asciiTheme="minorHAnsi" w:hAnsiTheme="minorHAnsi"/>
              </w:rPr>
              <w:t xml:space="preserve">late adopters” to meet the required reduction than “early </w:t>
            </w:r>
            <w:r w:rsidR="00D250C3">
              <w:rPr>
                <w:rFonts w:asciiTheme="minorHAnsi" w:hAnsiTheme="minorHAnsi"/>
              </w:rPr>
              <w:t>adopters</w:t>
            </w:r>
            <w:r w:rsidRPr="008E3E11">
              <w:rPr>
                <w:rFonts w:asciiTheme="minorHAnsi" w:hAnsiTheme="minorHAnsi"/>
              </w:rPr>
              <w:t>” who have already taken actions.</w:t>
            </w:r>
            <w:r>
              <w:rPr>
                <w:rFonts w:asciiTheme="minorHAnsi" w:hAnsiTheme="minorHAnsi"/>
              </w:rPr>
              <w:t xml:space="preserve"> </w:t>
            </w:r>
            <w:r w:rsidR="00F90767" w:rsidRPr="00101FAD">
              <w:rPr>
                <w:rFonts w:asciiTheme="minorHAnsi" w:hAnsiTheme="minorHAnsi"/>
              </w:rPr>
              <w:t>Maryland</w:t>
            </w:r>
            <w:r w:rsidRPr="00101FAD">
              <w:rPr>
                <w:rFonts w:asciiTheme="minorHAnsi" w:hAnsiTheme="minorHAnsi"/>
              </w:rPr>
              <w:t xml:space="preserve"> </w:t>
            </w:r>
            <w:r>
              <w:rPr>
                <w:rFonts w:asciiTheme="minorHAnsi" w:hAnsiTheme="minorHAnsi"/>
              </w:rPr>
              <w:t xml:space="preserve">and </w:t>
            </w:r>
            <w:r w:rsidRPr="00101FAD">
              <w:rPr>
                <w:rFonts w:asciiTheme="minorHAnsi" w:hAnsiTheme="minorHAnsi"/>
              </w:rPr>
              <w:t xml:space="preserve">Pennsylvania </w:t>
            </w:r>
            <w:r>
              <w:rPr>
                <w:rFonts w:asciiTheme="minorHAnsi" w:hAnsiTheme="minorHAnsi"/>
              </w:rPr>
              <w:t>e</w:t>
            </w:r>
            <w:r w:rsidRPr="00B679E1">
              <w:rPr>
                <w:rFonts w:asciiTheme="minorHAnsi" w:hAnsiTheme="minorHAnsi"/>
              </w:rPr>
              <w:t>xpress baselines this way</w:t>
            </w:r>
            <w:r w:rsidR="00F90767">
              <w:rPr>
                <w:rFonts w:asciiTheme="minorHAnsi" w:hAnsiTheme="minorHAnsi"/>
              </w:rPr>
              <w:t>.</w:t>
            </w:r>
            <w:r w:rsidR="00F90767">
              <w:rPr>
                <w:rStyle w:val="FootnoteReference"/>
                <w:rFonts w:asciiTheme="minorHAnsi" w:hAnsiTheme="minorHAnsi"/>
              </w:rPr>
              <w:footnoteReference w:id="8"/>
            </w:r>
          </w:p>
        </w:tc>
      </w:tr>
    </w:tbl>
    <w:p w:rsidR="0085044F" w:rsidRDefault="0085044F" w:rsidP="0085044F">
      <w:pPr>
        <w:pStyle w:val="Default"/>
        <w:spacing w:before="240" w:after="120"/>
        <w:rPr>
          <w:rFonts w:ascii="Calibri" w:hAnsi="Calibri"/>
        </w:rPr>
      </w:pPr>
      <w:r w:rsidRPr="00015EB4">
        <w:rPr>
          <w:rFonts w:asciiTheme="minorHAnsi" w:hAnsiTheme="minorHAnsi" w:cs="Arial"/>
          <w:b/>
          <w:bCs/>
          <w:noProof/>
        </w:rPr>
        <w:t>II. Recommended Default</w:t>
      </w:r>
      <w:r w:rsidRPr="00015EB4">
        <w:rPr>
          <w:rFonts w:asciiTheme="minorHAnsi" w:hAnsiTheme="minorHAnsi" w:cs="Arial"/>
          <w:bCs/>
          <w:noProof/>
        </w:rPr>
        <w:t xml:space="preserve">: </w:t>
      </w:r>
      <w:r w:rsidRPr="0040059B">
        <w:rPr>
          <w:rFonts w:asciiTheme="minorHAnsi" w:hAnsiTheme="minorHAnsi" w:cs="Arial"/>
          <w:bCs/>
          <w:noProof/>
        </w:rPr>
        <w:t>Option</w:t>
      </w:r>
      <w:r w:rsidR="00AC73F7" w:rsidRPr="0040059B">
        <w:rPr>
          <w:rFonts w:asciiTheme="minorHAnsi" w:hAnsiTheme="minorHAnsi" w:cs="Arial"/>
          <w:bCs/>
          <w:noProof/>
        </w:rPr>
        <w:t>s</w:t>
      </w:r>
      <w:r w:rsidRPr="0040059B">
        <w:rPr>
          <w:rFonts w:asciiTheme="minorHAnsi" w:hAnsiTheme="minorHAnsi" w:cs="Arial"/>
          <w:bCs/>
          <w:noProof/>
        </w:rPr>
        <w:t xml:space="preserve"> C</w:t>
      </w:r>
      <w:r w:rsidR="00AC73F7" w:rsidRPr="0040059B">
        <w:rPr>
          <w:rFonts w:asciiTheme="minorHAnsi" w:hAnsiTheme="minorHAnsi" w:cs="Arial"/>
          <w:bCs/>
          <w:noProof/>
        </w:rPr>
        <w:t xml:space="preserve"> </w:t>
      </w:r>
      <w:r w:rsidRPr="0040059B">
        <w:rPr>
          <w:rFonts w:asciiTheme="minorHAnsi" w:hAnsiTheme="minorHAnsi" w:cs="Arial"/>
          <w:bCs/>
          <w:noProof/>
        </w:rPr>
        <w:t xml:space="preserve">- </w:t>
      </w:r>
      <w:r w:rsidRPr="0040059B">
        <w:rPr>
          <w:rFonts w:ascii="Calibri" w:hAnsi="Calibri"/>
        </w:rPr>
        <w:t>Baseline requirements should be expressed as a percentage reduction of pollution applied to individ</w:t>
      </w:r>
      <w:r w:rsidR="00AC73F7" w:rsidRPr="0040059B">
        <w:rPr>
          <w:rFonts w:ascii="Calibri" w:hAnsi="Calibri"/>
        </w:rPr>
        <w:t xml:space="preserve">ual credit generating projects. </w:t>
      </w:r>
    </w:p>
    <w:p w:rsidR="0085044F" w:rsidRPr="0085044F" w:rsidRDefault="0085044F" w:rsidP="0085044F">
      <w:pPr>
        <w:pStyle w:val="Default"/>
        <w:rPr>
          <w:rFonts w:asciiTheme="minorHAnsi" w:hAnsiTheme="minorHAnsi"/>
        </w:rPr>
      </w:pPr>
      <w:r w:rsidRPr="00494CBB">
        <w:rPr>
          <w:rFonts w:asciiTheme="minorHAnsi" w:hAnsiTheme="minorHAnsi"/>
          <w:b/>
        </w:rPr>
        <w:t>III. Reasons to deviate from the default</w:t>
      </w:r>
      <w:r>
        <w:rPr>
          <w:rFonts w:asciiTheme="minorHAnsi" w:hAnsiTheme="minorHAnsi"/>
        </w:rPr>
        <w:t xml:space="preserve">: </w:t>
      </w:r>
      <w:r w:rsidR="00AC73F7" w:rsidRPr="0040059B">
        <w:rPr>
          <w:rFonts w:ascii="Calibri" w:hAnsi="Calibri"/>
        </w:rPr>
        <w:t xml:space="preserve">Option B may be considered where a targeted analysis </w:t>
      </w:r>
      <w:r w:rsidR="00AC73F7" w:rsidRPr="00547B8D">
        <w:rPr>
          <w:rFonts w:asciiTheme="minorHAnsi" w:hAnsiTheme="minorHAnsi"/>
        </w:rPr>
        <w:t xml:space="preserve">allows regulators to identify </w:t>
      </w:r>
      <w:r w:rsidR="00547B8D" w:rsidRPr="00547B8D">
        <w:rPr>
          <w:rFonts w:asciiTheme="minorHAnsi" w:hAnsiTheme="minorHAnsi"/>
        </w:rPr>
        <w:t>key places where BMPs should be implemented (where loading is highest)</w:t>
      </w:r>
      <w:r w:rsidR="00AC73F7" w:rsidRPr="00547B8D">
        <w:rPr>
          <w:rFonts w:asciiTheme="minorHAnsi" w:hAnsiTheme="minorHAnsi"/>
        </w:rPr>
        <w:t>.</w:t>
      </w:r>
      <w:r w:rsidR="00AC73F7" w:rsidRPr="0040059B">
        <w:rPr>
          <w:rFonts w:ascii="Calibri" w:hAnsi="Calibri"/>
        </w:rPr>
        <w:t xml:space="preserve"> </w:t>
      </w:r>
      <w:r w:rsidRPr="0040059B">
        <w:rPr>
          <w:rFonts w:asciiTheme="minorHAnsi" w:hAnsiTheme="minorHAnsi"/>
        </w:rPr>
        <w:t xml:space="preserve">In watersheds where specific BMPs are needed and those BMPs are not likely to be </w:t>
      </w:r>
      <w:r w:rsidRPr="0040059B">
        <w:rPr>
          <w:rFonts w:asciiTheme="minorHAnsi" w:hAnsiTheme="minorHAnsi"/>
        </w:rPr>
        <w:lastRenderedPageBreak/>
        <w:t>implemented through a trading program, trading programs may require a minimum set of BMPs</w:t>
      </w:r>
      <w:r w:rsidR="00AC73F7" w:rsidRPr="0040059B">
        <w:rPr>
          <w:rFonts w:asciiTheme="minorHAnsi" w:hAnsiTheme="minorHAnsi"/>
        </w:rPr>
        <w:t>, as described in Option A</w:t>
      </w:r>
      <w:r w:rsidRPr="0040059B">
        <w:rPr>
          <w:rFonts w:asciiTheme="minorHAnsi" w:hAnsiTheme="minorHAnsi"/>
        </w:rPr>
        <w:t>. When there is both the need and possibility for groups of landowners within a watershed to collectively meet their LA goals, trading programs may incentivize coordinated action by groups of landowners.</w:t>
      </w:r>
    </w:p>
    <w:p w:rsidR="002B2343" w:rsidRPr="002B2343" w:rsidRDefault="00B679E1" w:rsidP="00C014D6">
      <w:pPr>
        <w:pStyle w:val="ListParagraph"/>
        <w:numPr>
          <w:ilvl w:val="0"/>
          <w:numId w:val="2"/>
        </w:numPr>
        <w:spacing w:before="240" w:after="120" w:line="276" w:lineRule="auto"/>
        <w:rPr>
          <w:rFonts w:asciiTheme="minorHAnsi" w:hAnsiTheme="minorHAnsi" w:cs="Arial"/>
          <w:bCs/>
          <w:i/>
          <w:sz w:val="24"/>
          <w:szCs w:val="24"/>
          <w:u w:val="single"/>
        </w:rPr>
      </w:pPr>
      <w:r w:rsidRPr="00B679E1">
        <w:rPr>
          <w:rFonts w:asciiTheme="minorHAnsi" w:hAnsiTheme="minorHAnsi" w:cs="Arial"/>
          <w:bCs/>
          <w:i/>
          <w:sz w:val="24"/>
          <w:szCs w:val="24"/>
        </w:rPr>
        <w:t>How do baseline requirements reflect LAs and other assumptions of the TMDLs?</w:t>
      </w:r>
    </w:p>
    <w:p w:rsidR="002B2343" w:rsidRDefault="002B2343" w:rsidP="002B2343">
      <w:pPr>
        <w:pStyle w:val="Default"/>
        <w:spacing w:before="120" w:after="120"/>
        <w:rPr>
          <w:rFonts w:asciiTheme="minorHAnsi" w:hAnsiTheme="minorHAnsi" w:cs="Arial"/>
          <w:bCs/>
        </w:rPr>
      </w:pPr>
      <w:r>
        <w:rPr>
          <w:rFonts w:asciiTheme="minorHAnsi" w:hAnsiTheme="minorHAnsi" w:cs="Arial"/>
          <w:bCs/>
        </w:rPr>
        <w:t xml:space="preserve">Baseline requirements </w:t>
      </w:r>
      <w:r w:rsidR="0040136E">
        <w:rPr>
          <w:rFonts w:asciiTheme="minorHAnsi" w:hAnsiTheme="minorHAnsi" w:cs="Arial"/>
          <w:bCs/>
        </w:rPr>
        <w:t>set the floor above which additional actions by nonpoint sources may be used by</w:t>
      </w:r>
      <w:r>
        <w:rPr>
          <w:rFonts w:asciiTheme="minorHAnsi" w:hAnsiTheme="minorHAnsi" w:cs="Arial"/>
          <w:bCs/>
        </w:rPr>
        <w:t xml:space="preserve"> point sources </w:t>
      </w:r>
      <w:r w:rsidR="0040136E">
        <w:rPr>
          <w:rFonts w:asciiTheme="minorHAnsi" w:hAnsiTheme="minorHAnsi" w:cs="Arial"/>
          <w:bCs/>
        </w:rPr>
        <w:t>to meet their</w:t>
      </w:r>
      <w:r>
        <w:rPr>
          <w:rFonts w:asciiTheme="minorHAnsi" w:hAnsiTheme="minorHAnsi" w:cs="Arial"/>
          <w:bCs/>
        </w:rPr>
        <w:t xml:space="preserve"> pollution </w:t>
      </w:r>
      <w:r w:rsidR="0040136E">
        <w:rPr>
          <w:rFonts w:asciiTheme="minorHAnsi" w:hAnsiTheme="minorHAnsi" w:cs="Arial"/>
          <w:bCs/>
        </w:rPr>
        <w:t xml:space="preserve">reduction </w:t>
      </w:r>
      <w:r>
        <w:rPr>
          <w:rFonts w:asciiTheme="minorHAnsi" w:hAnsiTheme="minorHAnsi" w:cs="Arial"/>
          <w:bCs/>
        </w:rPr>
        <w:t>targets</w:t>
      </w:r>
      <w:r w:rsidR="0040136E">
        <w:rPr>
          <w:rFonts w:asciiTheme="minorHAnsi" w:hAnsiTheme="minorHAnsi" w:cs="Arial"/>
          <w:bCs/>
        </w:rPr>
        <w:t xml:space="preserve">, </w:t>
      </w:r>
      <w:r w:rsidR="00F62091" w:rsidRPr="00D479B8">
        <w:rPr>
          <w:rFonts w:asciiTheme="minorHAnsi" w:hAnsiTheme="minorHAnsi" w:cs="Arial"/>
          <w:bCs/>
        </w:rPr>
        <w:t>which are</w:t>
      </w:r>
      <w:r w:rsidR="00F62091">
        <w:rPr>
          <w:rFonts w:asciiTheme="minorHAnsi" w:hAnsiTheme="minorHAnsi" w:cs="Arial"/>
          <w:bCs/>
        </w:rPr>
        <w:t xml:space="preserve"> </w:t>
      </w:r>
      <w:r w:rsidR="0040136E">
        <w:rPr>
          <w:rFonts w:asciiTheme="minorHAnsi" w:hAnsiTheme="minorHAnsi" w:cs="Arial"/>
          <w:bCs/>
        </w:rPr>
        <w:t xml:space="preserve">derived from their </w:t>
      </w:r>
      <w:r>
        <w:rPr>
          <w:rFonts w:asciiTheme="minorHAnsi" w:hAnsiTheme="minorHAnsi" w:cs="Arial"/>
          <w:bCs/>
        </w:rPr>
        <w:t xml:space="preserve">WLAs. There is limited documentation as to how trading programs have developed baseline requirements directly from the assumptions of the TMDL analysis.  </w:t>
      </w:r>
    </w:p>
    <w:p w:rsidR="0040059B" w:rsidRDefault="00494CBB" w:rsidP="0040059B">
      <w:pPr>
        <w:pStyle w:val="Default"/>
        <w:numPr>
          <w:ilvl w:val="0"/>
          <w:numId w:val="13"/>
        </w:numPr>
        <w:spacing w:before="240" w:after="120"/>
        <w:rPr>
          <w:rFonts w:asciiTheme="minorHAnsi" w:hAnsiTheme="minorHAnsi" w:cs="Arial"/>
          <w:b/>
          <w:bCs/>
        </w:rPr>
      </w:pPr>
      <w:r>
        <w:rPr>
          <w:rFonts w:asciiTheme="minorHAnsi" w:hAnsiTheme="minorHAnsi" w:cs="Arial"/>
          <w:b/>
          <w:bCs/>
        </w:rPr>
        <w:t>Options and e</w:t>
      </w:r>
      <w:r w:rsidRPr="00E441D9">
        <w:rPr>
          <w:rFonts w:asciiTheme="minorHAnsi" w:hAnsiTheme="minorHAnsi" w:cs="Arial"/>
          <w:b/>
          <w:bCs/>
        </w:rPr>
        <w:t>xamples</w:t>
      </w:r>
    </w:p>
    <w:p w:rsidR="0040059B" w:rsidRPr="0040059B" w:rsidRDefault="0040059B" w:rsidP="0040059B">
      <w:pPr>
        <w:pStyle w:val="Default"/>
        <w:spacing w:before="240" w:after="120"/>
        <w:rPr>
          <w:rFonts w:asciiTheme="minorHAnsi" w:hAnsiTheme="minorHAnsi" w:cs="Arial"/>
          <w:bCs/>
          <w:i/>
          <w:u w:val="single"/>
        </w:rPr>
      </w:pPr>
      <w:r>
        <w:rPr>
          <w:rFonts w:asciiTheme="minorHAnsi" w:hAnsiTheme="minorHAnsi" w:cs="Arial"/>
          <w:bCs/>
          <w:i/>
          <w:u w:val="single"/>
        </w:rPr>
        <w:t>What assumptions are used to develop and support LAs?</w:t>
      </w:r>
    </w:p>
    <w:tbl>
      <w:tblPr>
        <w:tblStyle w:val="TableGrid"/>
        <w:tblW w:w="0" w:type="auto"/>
        <w:tblLook w:val="04A0" w:firstRow="1" w:lastRow="0" w:firstColumn="1" w:lastColumn="0" w:noHBand="0" w:noVBand="1"/>
      </w:tblPr>
      <w:tblGrid>
        <w:gridCol w:w="5076"/>
        <w:gridCol w:w="5076"/>
      </w:tblGrid>
      <w:tr w:rsidR="002B2343" w:rsidRPr="002B2343">
        <w:tc>
          <w:tcPr>
            <w:tcW w:w="5076" w:type="dxa"/>
          </w:tcPr>
          <w:p w:rsidR="00FD4B88" w:rsidRPr="0040059B" w:rsidRDefault="00FD4B88" w:rsidP="00FD4B88">
            <w:pPr>
              <w:rPr>
                <w:b/>
              </w:rPr>
            </w:pPr>
            <w:r w:rsidRPr="0040059B">
              <w:rPr>
                <w:b/>
              </w:rPr>
              <w:t xml:space="preserve">Option </w:t>
            </w:r>
            <w:r>
              <w:rPr>
                <w:b/>
              </w:rPr>
              <w:t>A</w:t>
            </w:r>
          </w:p>
          <w:p w:rsidR="00FD4B88" w:rsidRPr="0040059B" w:rsidRDefault="005E7FE6" w:rsidP="00FD4B88">
            <w:pPr>
              <w:rPr>
                <w:rFonts w:asciiTheme="minorHAnsi" w:hAnsiTheme="minorHAnsi"/>
                <w:b/>
              </w:rPr>
            </w:pPr>
            <w:r w:rsidRPr="005E7FE6">
              <w:rPr>
                <w:i/>
              </w:rPr>
              <w:t xml:space="preserve">LAs are based on the assumption that nonpoint sources will maximize potential pollutant </w:t>
            </w:r>
            <w:r w:rsidR="00F90767" w:rsidRPr="005E7FE6">
              <w:rPr>
                <w:i/>
              </w:rPr>
              <w:t>abatement</w:t>
            </w:r>
            <w:r w:rsidRPr="005E7FE6">
              <w:rPr>
                <w:i/>
              </w:rPr>
              <w:t xml:space="preserve"> by implementing temperature-reducing BMP actions in every location within the basin. </w:t>
            </w:r>
          </w:p>
          <w:p w:rsidR="005E7FE6" w:rsidRDefault="005E7FE6" w:rsidP="00FD4B88">
            <w:pPr>
              <w:rPr>
                <w:rFonts w:asciiTheme="minorHAnsi" w:hAnsiTheme="minorHAnsi"/>
                <w:b/>
              </w:rPr>
            </w:pPr>
          </w:p>
          <w:p w:rsidR="00FD4B88" w:rsidRPr="0040059B" w:rsidRDefault="00FD4B88" w:rsidP="00FD4B88">
            <w:pPr>
              <w:rPr>
                <w:rFonts w:asciiTheme="minorHAnsi" w:hAnsiTheme="minorHAnsi"/>
                <w:b/>
              </w:rPr>
            </w:pPr>
            <w:r w:rsidRPr="0040059B">
              <w:rPr>
                <w:rFonts w:asciiTheme="minorHAnsi" w:hAnsiTheme="minorHAnsi"/>
                <w:b/>
              </w:rPr>
              <w:t>Pros and Cons</w:t>
            </w:r>
          </w:p>
          <w:p w:rsidR="00193A9A" w:rsidRPr="0040059B" w:rsidRDefault="005E7FE6">
            <w:pPr>
              <w:spacing w:after="120"/>
              <w:rPr>
                <w:rFonts w:asciiTheme="minorHAnsi" w:hAnsiTheme="minorHAnsi" w:cs="Arial"/>
                <w:bCs/>
                <w:u w:val="single"/>
              </w:rPr>
            </w:pPr>
            <w:r w:rsidRPr="005E7FE6">
              <w:rPr>
                <w:rFonts w:asciiTheme="minorHAnsi" w:hAnsiTheme="minorHAnsi"/>
              </w:rPr>
              <w:t xml:space="preserve">This option assumes blanket/uniform adoption of BMPs across the landscape, and that implementation can occur everywhere (even where not physically possible). These assumptions (e.g. all streams at natural thermal potential for shade, morphology, and flow), may make it difficult for some actions to generate credits. Moreover, it is unclear whether these actions will occur within a reasonable timeframe, or ever. As a result, LAs may not be met through implementation plans alone.  This approach may limit the space for trading. </w:t>
            </w:r>
          </w:p>
        </w:tc>
        <w:tc>
          <w:tcPr>
            <w:tcW w:w="5076" w:type="dxa"/>
          </w:tcPr>
          <w:p w:rsidR="008E3E11" w:rsidRPr="0040059B" w:rsidRDefault="008E3E11" w:rsidP="008E3E11">
            <w:pPr>
              <w:rPr>
                <w:b/>
              </w:rPr>
            </w:pPr>
            <w:r w:rsidRPr="0040059B">
              <w:rPr>
                <w:b/>
              </w:rPr>
              <w:t>Option B</w:t>
            </w:r>
          </w:p>
          <w:p w:rsidR="008E3E11" w:rsidRPr="0040059B" w:rsidRDefault="008E3E11" w:rsidP="008E3E11">
            <w:pPr>
              <w:rPr>
                <w:i/>
              </w:rPr>
            </w:pPr>
            <w:r w:rsidRPr="0040059B">
              <w:rPr>
                <w:i/>
              </w:rPr>
              <w:t xml:space="preserve">LAs are based on an assessment of how much pollutant abatement BMP actions can actually achieve if </w:t>
            </w:r>
            <w:r>
              <w:rPr>
                <w:i/>
              </w:rPr>
              <w:t xml:space="preserve">they were </w:t>
            </w:r>
            <w:r w:rsidRPr="0040059B">
              <w:rPr>
                <w:i/>
              </w:rPr>
              <w:t xml:space="preserve">implemented at </w:t>
            </w:r>
            <w:r w:rsidR="005E7FE6">
              <w:rPr>
                <w:i/>
              </w:rPr>
              <w:t>only the</w:t>
            </w:r>
            <w:r w:rsidRPr="0040059B">
              <w:rPr>
                <w:i/>
              </w:rPr>
              <w:t xml:space="preserve"> physically </w:t>
            </w:r>
            <w:r w:rsidR="005E7FE6">
              <w:rPr>
                <w:i/>
              </w:rPr>
              <w:t xml:space="preserve">and practically </w:t>
            </w:r>
            <w:r w:rsidRPr="0040059B">
              <w:rPr>
                <w:i/>
              </w:rPr>
              <w:t xml:space="preserve">possible locations. </w:t>
            </w:r>
          </w:p>
          <w:p w:rsidR="008E3E11" w:rsidRPr="0040059B" w:rsidRDefault="008E3E11" w:rsidP="008E3E11">
            <w:pPr>
              <w:rPr>
                <w:rFonts w:asciiTheme="minorHAnsi" w:hAnsiTheme="minorHAnsi"/>
                <w:b/>
              </w:rPr>
            </w:pPr>
          </w:p>
          <w:p w:rsidR="008E3E11" w:rsidRPr="0040059B" w:rsidRDefault="008E3E11" w:rsidP="008E3E11">
            <w:pPr>
              <w:rPr>
                <w:rFonts w:asciiTheme="minorHAnsi" w:hAnsiTheme="minorHAnsi"/>
                <w:b/>
              </w:rPr>
            </w:pPr>
            <w:r w:rsidRPr="0040059B">
              <w:rPr>
                <w:rFonts w:asciiTheme="minorHAnsi" w:hAnsiTheme="minorHAnsi"/>
                <w:b/>
              </w:rPr>
              <w:t>Pros and Cons</w:t>
            </w:r>
          </w:p>
          <w:p w:rsidR="002B2343" w:rsidRPr="0040059B" w:rsidRDefault="00D479B8" w:rsidP="00671CB5">
            <w:pPr>
              <w:spacing w:after="120"/>
              <w:rPr>
                <w:rFonts w:asciiTheme="minorHAnsi" w:hAnsiTheme="minorHAnsi"/>
              </w:rPr>
            </w:pPr>
            <w:r w:rsidRPr="0040059B">
              <w:rPr>
                <w:rFonts w:asciiTheme="minorHAnsi" w:hAnsiTheme="minorHAnsi"/>
              </w:rPr>
              <w:t xml:space="preserve">Unlike Option A, this approach assumes that DMAs will implement BMPs only on physically available land (accounts for places where implementation is not possible – i.e. roads, sandy soils, human development, </w:t>
            </w:r>
            <w:r w:rsidR="00F90767" w:rsidRPr="0040059B">
              <w:rPr>
                <w:rFonts w:asciiTheme="minorHAnsi" w:hAnsiTheme="minorHAnsi"/>
              </w:rPr>
              <w:t>etc.</w:t>
            </w:r>
            <w:r w:rsidRPr="0040059B">
              <w:rPr>
                <w:rFonts w:asciiTheme="minorHAnsi" w:hAnsiTheme="minorHAnsi"/>
              </w:rPr>
              <w:t>). This would require agencies to identify a rough estimate of the net potential load reduction possible when implementing various actions throughout the watershed. This approach may limit the space for trading if the load allocation is equal to 100% achievement of all potential load reduction actions</w:t>
            </w:r>
          </w:p>
        </w:tc>
      </w:tr>
      <w:tr w:rsidR="000D56C1" w:rsidRPr="002B2343" w:rsidTr="00451410">
        <w:tc>
          <w:tcPr>
            <w:tcW w:w="10152" w:type="dxa"/>
            <w:gridSpan w:val="2"/>
          </w:tcPr>
          <w:p w:rsidR="000D56C1" w:rsidRPr="0040059B" w:rsidRDefault="000D56C1" w:rsidP="004F2167">
            <w:pPr>
              <w:rPr>
                <w:b/>
              </w:rPr>
            </w:pPr>
            <w:r w:rsidRPr="0040059B">
              <w:rPr>
                <w:b/>
              </w:rPr>
              <w:t>Option C</w:t>
            </w:r>
          </w:p>
          <w:p w:rsidR="000D56C1" w:rsidRPr="0040059B" w:rsidRDefault="000D56C1" w:rsidP="004525E6">
            <w:pPr>
              <w:rPr>
                <w:i/>
              </w:rPr>
            </w:pPr>
            <w:r w:rsidRPr="0040059B">
              <w:rPr>
                <w:i/>
              </w:rPr>
              <w:t xml:space="preserve">LAs are based on an assessment of how much pollutant abatement BMP actions can actually achieve if implemented at </w:t>
            </w:r>
            <w:r>
              <w:rPr>
                <w:i/>
              </w:rPr>
              <w:t>projected</w:t>
            </w:r>
            <w:r w:rsidRPr="0040059B">
              <w:rPr>
                <w:i/>
              </w:rPr>
              <w:t xml:space="preserve"> adoption rates. </w:t>
            </w:r>
          </w:p>
          <w:p w:rsidR="000D56C1" w:rsidRPr="0040059B" w:rsidRDefault="000D56C1" w:rsidP="00050D52">
            <w:pPr>
              <w:rPr>
                <w:b/>
              </w:rPr>
            </w:pPr>
          </w:p>
          <w:p w:rsidR="000D56C1" w:rsidRPr="0040059B" w:rsidRDefault="000D56C1" w:rsidP="00050D52">
            <w:pPr>
              <w:rPr>
                <w:b/>
              </w:rPr>
            </w:pPr>
            <w:r w:rsidRPr="0040059B">
              <w:rPr>
                <w:b/>
              </w:rPr>
              <w:t>Pros and Cons</w:t>
            </w:r>
          </w:p>
          <w:p w:rsidR="000D56C1" w:rsidRPr="0040059B" w:rsidRDefault="000D56C1" w:rsidP="000D56C1">
            <w:pPr>
              <w:rPr>
                <w:b/>
              </w:rPr>
            </w:pPr>
            <w:r>
              <w:t xml:space="preserve">This option pegs load allocations to on-the-ground realities related to BMP implementation.  </w:t>
            </w:r>
          </w:p>
        </w:tc>
      </w:tr>
    </w:tbl>
    <w:p w:rsidR="000D56C1" w:rsidRDefault="000D56C1" w:rsidP="00CC4737">
      <w:pPr>
        <w:pStyle w:val="Default"/>
        <w:rPr>
          <w:rFonts w:asciiTheme="minorHAnsi" w:hAnsiTheme="minorHAnsi" w:cs="Arial"/>
          <w:b/>
          <w:bCs/>
          <w:noProof/>
        </w:rPr>
      </w:pPr>
    </w:p>
    <w:p w:rsidR="004C1D64" w:rsidRPr="00CC4737" w:rsidRDefault="00CC4737" w:rsidP="00CC4737">
      <w:pPr>
        <w:pStyle w:val="Default"/>
        <w:rPr>
          <w:rFonts w:asciiTheme="minorHAnsi" w:hAnsiTheme="minorHAnsi"/>
          <w:b/>
        </w:rPr>
      </w:pPr>
      <w:r w:rsidRPr="00CC4737">
        <w:rPr>
          <w:rFonts w:asciiTheme="minorHAnsi" w:hAnsiTheme="minorHAnsi" w:cs="Arial"/>
          <w:b/>
          <w:bCs/>
          <w:noProof/>
        </w:rPr>
        <w:t>II.</w:t>
      </w:r>
      <w:r>
        <w:rPr>
          <w:rFonts w:asciiTheme="minorHAnsi" w:hAnsiTheme="minorHAnsi" w:cs="Arial"/>
          <w:b/>
          <w:bCs/>
          <w:noProof/>
        </w:rPr>
        <w:t xml:space="preserve"> </w:t>
      </w:r>
      <w:r w:rsidR="000D56C1" w:rsidRPr="00015EB4">
        <w:rPr>
          <w:rFonts w:asciiTheme="minorHAnsi" w:hAnsiTheme="minorHAnsi" w:cs="Arial"/>
          <w:b/>
          <w:bCs/>
          <w:noProof/>
        </w:rPr>
        <w:t>Recommended Default</w:t>
      </w:r>
      <w:r w:rsidR="000D56C1" w:rsidRPr="00015EB4">
        <w:rPr>
          <w:rFonts w:asciiTheme="minorHAnsi" w:hAnsiTheme="minorHAnsi" w:cs="Arial"/>
          <w:bCs/>
          <w:noProof/>
        </w:rPr>
        <w:t xml:space="preserve">: </w:t>
      </w:r>
      <w:r w:rsidR="00876B32">
        <w:rPr>
          <w:rFonts w:asciiTheme="minorHAnsi" w:hAnsiTheme="minorHAnsi" w:cs="Arial"/>
          <w:bCs/>
          <w:noProof/>
        </w:rPr>
        <w:t>?</w:t>
      </w:r>
    </w:p>
    <w:p w:rsidR="00CC4737" w:rsidRPr="00CC4737" w:rsidRDefault="00CC4737" w:rsidP="00CC4737">
      <w:pPr>
        <w:pStyle w:val="Default"/>
        <w:ind w:left="1080"/>
        <w:rPr>
          <w:rFonts w:asciiTheme="minorHAnsi" w:hAnsiTheme="minorHAnsi"/>
          <w:b/>
        </w:rPr>
      </w:pPr>
    </w:p>
    <w:p w:rsidR="00CC4737" w:rsidRPr="00CC4737" w:rsidRDefault="00CC4737" w:rsidP="00CC4737">
      <w:pPr>
        <w:pStyle w:val="Default"/>
        <w:rPr>
          <w:rFonts w:asciiTheme="minorHAnsi" w:hAnsiTheme="minorHAnsi"/>
          <w:color w:val="auto"/>
        </w:rPr>
      </w:pPr>
      <w:r>
        <w:rPr>
          <w:rFonts w:asciiTheme="minorHAnsi" w:hAnsiTheme="minorHAnsi"/>
          <w:b/>
          <w:color w:val="auto"/>
        </w:rPr>
        <w:t xml:space="preserve">III. </w:t>
      </w:r>
      <w:r w:rsidRPr="00CC4737">
        <w:rPr>
          <w:rFonts w:asciiTheme="minorHAnsi" w:hAnsiTheme="minorHAnsi"/>
          <w:b/>
          <w:color w:val="auto"/>
        </w:rPr>
        <w:t>Reasons to deviate from the default?</w:t>
      </w:r>
    </w:p>
    <w:p w:rsidR="00FD4B88" w:rsidRPr="0040059B" w:rsidRDefault="00FD4B88" w:rsidP="00FD4B88">
      <w:pPr>
        <w:pStyle w:val="Default"/>
        <w:spacing w:before="240" w:after="120"/>
        <w:rPr>
          <w:rFonts w:asciiTheme="minorHAnsi" w:hAnsiTheme="minorHAnsi" w:cs="Arial"/>
          <w:bCs/>
          <w:i/>
          <w:u w:val="single"/>
        </w:rPr>
      </w:pPr>
      <w:r>
        <w:rPr>
          <w:rFonts w:asciiTheme="minorHAnsi" w:hAnsiTheme="minorHAnsi" w:cs="Arial"/>
          <w:bCs/>
          <w:i/>
          <w:u w:val="single"/>
        </w:rPr>
        <w:t>How do baseline requirements lead to the attainment of LAs?</w:t>
      </w:r>
    </w:p>
    <w:tbl>
      <w:tblPr>
        <w:tblStyle w:val="TableGrid"/>
        <w:tblW w:w="0" w:type="auto"/>
        <w:tblLook w:val="04A0" w:firstRow="1" w:lastRow="0" w:firstColumn="1" w:lastColumn="0" w:noHBand="0" w:noVBand="1"/>
      </w:tblPr>
      <w:tblGrid>
        <w:gridCol w:w="5076"/>
        <w:gridCol w:w="5076"/>
      </w:tblGrid>
      <w:tr w:rsidR="00FD4B88" w:rsidTr="00FD4B88">
        <w:tc>
          <w:tcPr>
            <w:tcW w:w="5076" w:type="dxa"/>
          </w:tcPr>
          <w:p w:rsidR="00FD4B88" w:rsidRPr="009A5BD9" w:rsidRDefault="00FD4B88" w:rsidP="00FD4B88">
            <w:pPr>
              <w:rPr>
                <w:b/>
              </w:rPr>
            </w:pPr>
            <w:r w:rsidRPr="009A5BD9">
              <w:rPr>
                <w:b/>
              </w:rPr>
              <w:t>Option A</w:t>
            </w:r>
          </w:p>
          <w:p w:rsidR="00FD4B88" w:rsidRPr="009A5BD9" w:rsidRDefault="00FD4B88" w:rsidP="00FD4B88">
            <w:pPr>
              <w:rPr>
                <w:i/>
                <w:color w:val="FF0000"/>
              </w:rPr>
            </w:pPr>
            <w:r w:rsidRPr="009A5BD9">
              <w:rPr>
                <w:i/>
              </w:rPr>
              <w:t xml:space="preserve">Baseline requirements for credit generation are equal </w:t>
            </w:r>
            <w:r w:rsidRPr="009A5BD9">
              <w:rPr>
                <w:i/>
              </w:rPr>
              <w:lastRenderedPageBreak/>
              <w:t xml:space="preserve">to nonpoint source LAs. </w:t>
            </w:r>
            <w:r w:rsidR="000D56C1" w:rsidRPr="009A5BD9">
              <w:rPr>
                <w:i/>
              </w:rPr>
              <w:t>All</w:t>
            </w:r>
            <w:r w:rsidRPr="009A5BD9">
              <w:rPr>
                <w:i/>
              </w:rPr>
              <w:t xml:space="preserve"> actions necessary to meet</w:t>
            </w:r>
            <w:r w:rsidR="00F90767">
              <w:rPr>
                <w:i/>
              </w:rPr>
              <w:t xml:space="preserve"> </w:t>
            </w:r>
            <w:r w:rsidR="000D56C1" w:rsidRPr="009A5BD9">
              <w:rPr>
                <w:i/>
              </w:rPr>
              <w:t>baseline also</w:t>
            </w:r>
            <w:r w:rsidRPr="009A5BD9">
              <w:rPr>
                <w:i/>
              </w:rPr>
              <w:t xml:space="preserve"> serve as </w:t>
            </w:r>
            <w:r w:rsidR="000D56C1" w:rsidRPr="009A5BD9">
              <w:rPr>
                <w:i/>
              </w:rPr>
              <w:t>LAs</w:t>
            </w:r>
            <w:r w:rsidRPr="009A5BD9">
              <w:rPr>
                <w:i/>
              </w:rPr>
              <w:t>.</w:t>
            </w:r>
          </w:p>
          <w:p w:rsidR="009A5BD9" w:rsidRPr="009A5BD9" w:rsidRDefault="009A5BD9" w:rsidP="00FD4B88">
            <w:pPr>
              <w:rPr>
                <w:rFonts w:asciiTheme="minorHAnsi" w:hAnsiTheme="minorHAnsi"/>
                <w:i/>
              </w:rPr>
            </w:pPr>
          </w:p>
          <w:p w:rsidR="00FD4B88" w:rsidRPr="009A5BD9" w:rsidRDefault="00FD4B88" w:rsidP="00FD4B88">
            <w:pPr>
              <w:rPr>
                <w:rFonts w:asciiTheme="minorHAnsi" w:hAnsiTheme="minorHAnsi"/>
                <w:b/>
              </w:rPr>
            </w:pPr>
            <w:r w:rsidRPr="009A5BD9">
              <w:rPr>
                <w:rFonts w:asciiTheme="minorHAnsi" w:hAnsiTheme="minorHAnsi"/>
                <w:b/>
              </w:rPr>
              <w:t>Pros and Cons</w:t>
            </w:r>
          </w:p>
          <w:p w:rsidR="00FD4B88" w:rsidRPr="009A5BD9" w:rsidRDefault="009A5BD9" w:rsidP="009A5BD9">
            <w:pPr>
              <w:pStyle w:val="Default"/>
              <w:rPr>
                <w:rFonts w:asciiTheme="minorHAnsi" w:hAnsiTheme="minorHAnsi"/>
                <w:b/>
                <w:highlight w:val="yellow"/>
              </w:rPr>
            </w:pPr>
            <w:r w:rsidRPr="009A5BD9">
              <w:rPr>
                <w:rFonts w:asciiTheme="minorHAnsi" w:hAnsiTheme="minorHAnsi"/>
                <w:sz w:val="22"/>
                <w:szCs w:val="22"/>
              </w:rPr>
              <w:t>Under t</w:t>
            </w:r>
            <w:r w:rsidR="00FD4B88" w:rsidRPr="009A5BD9">
              <w:rPr>
                <w:rFonts w:asciiTheme="minorHAnsi" w:hAnsiTheme="minorHAnsi"/>
                <w:sz w:val="22"/>
                <w:szCs w:val="22"/>
              </w:rPr>
              <w:t>his approach</w:t>
            </w:r>
            <w:r w:rsidRPr="009A5BD9">
              <w:rPr>
                <w:rFonts w:asciiTheme="minorHAnsi" w:hAnsiTheme="minorHAnsi"/>
                <w:sz w:val="22"/>
                <w:szCs w:val="22"/>
              </w:rPr>
              <w:t>, all actions undertaken to meet baseline are counted toward LAs.</w:t>
            </w:r>
            <w:r w:rsidR="00FD4B88" w:rsidRPr="009A5BD9">
              <w:rPr>
                <w:rFonts w:asciiTheme="minorHAnsi" w:hAnsiTheme="minorHAnsi"/>
                <w:sz w:val="22"/>
                <w:szCs w:val="22"/>
              </w:rPr>
              <w:t xml:space="preserve"> </w:t>
            </w:r>
            <w:r w:rsidRPr="009A5BD9">
              <w:rPr>
                <w:rFonts w:asciiTheme="minorHAnsi" w:hAnsiTheme="minorHAnsi"/>
                <w:sz w:val="22"/>
                <w:szCs w:val="22"/>
              </w:rPr>
              <w:t>Because</w:t>
            </w:r>
            <w:r w:rsidR="00FD4B88" w:rsidRPr="009A5BD9">
              <w:rPr>
                <w:rFonts w:asciiTheme="minorHAnsi" w:hAnsiTheme="minorHAnsi"/>
                <w:sz w:val="22"/>
                <w:szCs w:val="22"/>
              </w:rPr>
              <w:t xml:space="preserve"> the assumptions built into many TMDLs (e.g. all streams at natural thermal potential for shade, morphology, and flow)</w:t>
            </w:r>
            <w:r w:rsidRPr="009A5BD9">
              <w:rPr>
                <w:rFonts w:asciiTheme="minorHAnsi" w:hAnsiTheme="minorHAnsi"/>
                <w:sz w:val="22"/>
                <w:szCs w:val="22"/>
              </w:rPr>
              <w:t xml:space="preserve"> may not be reasonable in some cases</w:t>
            </w:r>
            <w:r w:rsidR="00FD4B88" w:rsidRPr="009A5BD9">
              <w:rPr>
                <w:rFonts w:asciiTheme="minorHAnsi" w:hAnsiTheme="minorHAnsi"/>
                <w:sz w:val="22"/>
                <w:szCs w:val="22"/>
              </w:rPr>
              <w:t>, it is unclear whether these actions will occur within a reasonable timeframe</w:t>
            </w:r>
            <w:r w:rsidRPr="009A5BD9">
              <w:rPr>
                <w:rFonts w:asciiTheme="minorHAnsi" w:hAnsiTheme="minorHAnsi"/>
                <w:sz w:val="22"/>
                <w:szCs w:val="22"/>
              </w:rPr>
              <w:t>, if at all</w:t>
            </w:r>
            <w:r w:rsidR="00FD4B88" w:rsidRPr="009A5BD9">
              <w:rPr>
                <w:rFonts w:asciiTheme="minorHAnsi" w:hAnsiTheme="minorHAnsi"/>
                <w:sz w:val="22"/>
                <w:szCs w:val="22"/>
              </w:rPr>
              <w:t>. As a result, LAs</w:t>
            </w:r>
            <w:r w:rsidRPr="009A5BD9">
              <w:rPr>
                <w:rFonts w:asciiTheme="minorHAnsi" w:hAnsiTheme="minorHAnsi"/>
                <w:sz w:val="22"/>
                <w:szCs w:val="22"/>
              </w:rPr>
              <w:t xml:space="preserve"> and baseline</w:t>
            </w:r>
            <w:r w:rsidR="00FD4B88" w:rsidRPr="009A5BD9">
              <w:rPr>
                <w:rFonts w:asciiTheme="minorHAnsi" w:hAnsiTheme="minorHAnsi"/>
                <w:sz w:val="22"/>
                <w:szCs w:val="22"/>
              </w:rPr>
              <w:t xml:space="preserve"> may not be met through DMA implementation plan with these plans alone.  This approach may leave limited space for trading.</w:t>
            </w:r>
          </w:p>
        </w:tc>
        <w:tc>
          <w:tcPr>
            <w:tcW w:w="5076" w:type="dxa"/>
          </w:tcPr>
          <w:p w:rsidR="00FD4B88" w:rsidRPr="0040059B" w:rsidRDefault="00FD4B88" w:rsidP="00FD4B88">
            <w:pPr>
              <w:rPr>
                <w:b/>
              </w:rPr>
            </w:pPr>
            <w:r w:rsidRPr="0040059B">
              <w:rPr>
                <w:b/>
              </w:rPr>
              <w:lastRenderedPageBreak/>
              <w:t xml:space="preserve">Option </w:t>
            </w:r>
            <w:r>
              <w:rPr>
                <w:b/>
              </w:rPr>
              <w:t>B</w:t>
            </w:r>
          </w:p>
          <w:p w:rsidR="00FD4B88" w:rsidRPr="0040059B" w:rsidRDefault="009A5BD9" w:rsidP="00FD4B88">
            <w:pPr>
              <w:rPr>
                <w:rFonts w:asciiTheme="minorHAnsi" w:hAnsiTheme="minorHAnsi"/>
              </w:rPr>
            </w:pPr>
            <w:r w:rsidRPr="009A5BD9">
              <w:rPr>
                <w:i/>
              </w:rPr>
              <w:t xml:space="preserve">Baseline requirements for credit generation are equal </w:t>
            </w:r>
            <w:r w:rsidRPr="009A5BD9">
              <w:rPr>
                <w:i/>
              </w:rPr>
              <w:lastRenderedPageBreak/>
              <w:t>to</w:t>
            </w:r>
            <w:r>
              <w:rPr>
                <w:i/>
              </w:rPr>
              <w:t xml:space="preserve"> a particular % of load amount of</w:t>
            </w:r>
            <w:r w:rsidRPr="009A5BD9">
              <w:rPr>
                <w:i/>
              </w:rPr>
              <w:t xml:space="preserve"> nonpoint source</w:t>
            </w:r>
            <w:r>
              <w:rPr>
                <w:i/>
              </w:rPr>
              <w:t>.</w:t>
            </w:r>
            <w:r w:rsidRPr="009A5BD9">
              <w:rPr>
                <w:i/>
              </w:rPr>
              <w:t xml:space="preserve"> LAs. </w:t>
            </w:r>
          </w:p>
          <w:p w:rsidR="009A5BD9" w:rsidRDefault="009A5BD9" w:rsidP="00FD4B88">
            <w:pPr>
              <w:rPr>
                <w:rFonts w:asciiTheme="minorHAnsi" w:hAnsiTheme="minorHAnsi"/>
                <w:b/>
              </w:rPr>
            </w:pPr>
          </w:p>
          <w:p w:rsidR="00FD4B88" w:rsidRPr="0040059B" w:rsidRDefault="00FD4B88" w:rsidP="00FD4B88">
            <w:pPr>
              <w:rPr>
                <w:rFonts w:asciiTheme="minorHAnsi" w:hAnsiTheme="minorHAnsi"/>
                <w:b/>
              </w:rPr>
            </w:pPr>
            <w:r w:rsidRPr="0040059B">
              <w:rPr>
                <w:rFonts w:asciiTheme="minorHAnsi" w:hAnsiTheme="minorHAnsi"/>
                <w:b/>
              </w:rPr>
              <w:t>Pros and Cons</w:t>
            </w:r>
          </w:p>
          <w:p w:rsidR="00FD4B88" w:rsidRDefault="009A5BD9" w:rsidP="00876B32">
            <w:pPr>
              <w:spacing w:after="120"/>
              <w:rPr>
                <w:rFonts w:asciiTheme="minorHAnsi" w:hAnsiTheme="minorHAnsi"/>
                <w:b/>
                <w:highlight w:val="yellow"/>
              </w:rPr>
            </w:pPr>
            <w:r w:rsidRPr="009A5BD9">
              <w:rPr>
                <w:rFonts w:asciiTheme="minorHAnsi" w:hAnsiTheme="minorHAnsi"/>
              </w:rPr>
              <w:t xml:space="preserve">Under this approach, </w:t>
            </w:r>
            <w:r w:rsidR="00D250C3">
              <w:rPr>
                <w:rFonts w:asciiTheme="minorHAnsi" w:hAnsiTheme="minorHAnsi"/>
              </w:rPr>
              <w:t>actions/reductions taken to meet baseline requirements make up a portion/subset of the</w:t>
            </w:r>
            <w:r>
              <w:rPr>
                <w:rFonts w:asciiTheme="minorHAnsi" w:hAnsiTheme="minorHAnsi"/>
              </w:rPr>
              <w:t xml:space="preserve"> LA</w:t>
            </w:r>
            <w:r w:rsidR="00F90767">
              <w:rPr>
                <w:rFonts w:asciiTheme="minorHAnsi" w:hAnsiTheme="minorHAnsi"/>
              </w:rPr>
              <w:t>; this</w:t>
            </w:r>
            <w:r w:rsidR="00876B32">
              <w:rPr>
                <w:rFonts w:asciiTheme="minorHAnsi" w:hAnsiTheme="minorHAnsi"/>
              </w:rPr>
              <w:t xml:space="preserve"> provides some flexibility to consider the how LAs are likely to be implemented and the role that trading is intended to play in meeting them.</w:t>
            </w:r>
          </w:p>
        </w:tc>
      </w:tr>
      <w:tr w:rsidR="009A5BD9" w:rsidTr="00451410">
        <w:tc>
          <w:tcPr>
            <w:tcW w:w="10152" w:type="dxa"/>
            <w:gridSpan w:val="2"/>
          </w:tcPr>
          <w:p w:rsidR="009A5BD9" w:rsidRPr="00EA0430" w:rsidRDefault="009A5BD9" w:rsidP="00FD4B88">
            <w:pPr>
              <w:rPr>
                <w:rFonts w:asciiTheme="minorHAnsi" w:hAnsiTheme="minorHAnsi"/>
                <w:b/>
              </w:rPr>
            </w:pPr>
            <w:r w:rsidRPr="00486A2E">
              <w:rPr>
                <w:rFonts w:asciiTheme="minorHAnsi" w:hAnsiTheme="minorHAnsi"/>
                <w:b/>
              </w:rPr>
              <w:lastRenderedPageBreak/>
              <w:t xml:space="preserve">Option </w:t>
            </w:r>
            <w:r>
              <w:rPr>
                <w:rFonts w:asciiTheme="minorHAnsi" w:hAnsiTheme="minorHAnsi"/>
                <w:b/>
              </w:rPr>
              <w:t>C</w:t>
            </w:r>
          </w:p>
          <w:p w:rsidR="009A5BD9" w:rsidRPr="009A5BD9" w:rsidRDefault="009A5BD9" w:rsidP="00FD4B88">
            <w:pPr>
              <w:rPr>
                <w:i/>
              </w:rPr>
            </w:pPr>
            <w:r w:rsidRPr="009A5BD9">
              <w:rPr>
                <w:i/>
              </w:rPr>
              <w:t>Baseline requirements for credit generation are equal to</w:t>
            </w:r>
            <w:r>
              <w:rPr>
                <w:i/>
              </w:rPr>
              <w:t xml:space="preserve"> a particular % of load amount of</w:t>
            </w:r>
            <w:r w:rsidRPr="009A5BD9">
              <w:rPr>
                <w:i/>
              </w:rPr>
              <w:t xml:space="preserve"> nonpoint source LAs</w:t>
            </w:r>
            <w:r>
              <w:rPr>
                <w:i/>
              </w:rPr>
              <w:t>, but this percentage/load amount attributable to baseline increases over time.</w:t>
            </w:r>
          </w:p>
          <w:p w:rsidR="009A5BD9" w:rsidRDefault="009A5BD9" w:rsidP="00FD4B88">
            <w:pPr>
              <w:rPr>
                <w:rFonts w:asciiTheme="minorHAnsi" w:hAnsiTheme="minorHAnsi"/>
              </w:rPr>
            </w:pPr>
          </w:p>
          <w:p w:rsidR="009A5BD9" w:rsidRPr="00EA0430" w:rsidRDefault="009A5BD9" w:rsidP="00FD4B88">
            <w:pPr>
              <w:rPr>
                <w:rFonts w:asciiTheme="minorHAnsi" w:hAnsiTheme="minorHAnsi"/>
                <w:b/>
              </w:rPr>
            </w:pPr>
            <w:r w:rsidRPr="00486A2E">
              <w:rPr>
                <w:rFonts w:asciiTheme="minorHAnsi" w:hAnsiTheme="minorHAnsi"/>
                <w:b/>
              </w:rPr>
              <w:t>Pros and Cons</w:t>
            </w:r>
          </w:p>
          <w:p w:rsidR="009A5BD9" w:rsidRPr="00486A2E" w:rsidRDefault="009A5BD9" w:rsidP="00FD4B88">
            <w:pPr>
              <w:rPr>
                <w:rFonts w:asciiTheme="minorHAnsi" w:hAnsiTheme="minorHAnsi"/>
                <w:b/>
              </w:rPr>
            </w:pPr>
            <w:r w:rsidRPr="00486A2E">
              <w:rPr>
                <w:rFonts w:asciiTheme="minorHAnsi" w:hAnsiTheme="minorHAnsi"/>
              </w:rPr>
              <w:t>This approach provides a specific timeline for achieving a specific percentage of load reductions and provides incentives for early action from both point and nonpoint sources. It also sets some implementation deadlines that are not present in many current TMDLs. The challenge to a phased baseline is figuring out the time intervals and load reduction percentages to set. At the end of phased implementation, there may also need to be an adaptive management approach that evaluates how close implementation has come to achieving the WLAs and LAs.</w:t>
            </w:r>
          </w:p>
        </w:tc>
      </w:tr>
    </w:tbl>
    <w:p w:rsidR="00FD4B88" w:rsidRPr="002B2343" w:rsidRDefault="00FD4B88" w:rsidP="002B2343">
      <w:pPr>
        <w:pStyle w:val="Default"/>
        <w:rPr>
          <w:rFonts w:asciiTheme="minorHAnsi" w:hAnsiTheme="minorHAnsi"/>
          <w:b/>
          <w:highlight w:val="yellow"/>
        </w:rPr>
      </w:pPr>
    </w:p>
    <w:p w:rsidR="004C1D64" w:rsidRDefault="00494CBB" w:rsidP="008831EA">
      <w:pPr>
        <w:pStyle w:val="Default"/>
        <w:rPr>
          <w:rFonts w:asciiTheme="minorHAnsi" w:hAnsiTheme="minorHAnsi"/>
        </w:rPr>
      </w:pPr>
      <w:r>
        <w:rPr>
          <w:rFonts w:asciiTheme="minorHAnsi" w:hAnsiTheme="minorHAnsi"/>
          <w:b/>
        </w:rPr>
        <w:t xml:space="preserve">II. </w:t>
      </w:r>
      <w:r w:rsidR="002B2343" w:rsidRPr="00494CBB">
        <w:rPr>
          <w:rFonts w:asciiTheme="minorHAnsi" w:hAnsiTheme="minorHAnsi"/>
          <w:b/>
        </w:rPr>
        <w:t>Recommended default</w:t>
      </w:r>
      <w:r w:rsidR="002B2343" w:rsidRPr="00995C2D">
        <w:rPr>
          <w:rFonts w:asciiTheme="minorHAnsi" w:hAnsiTheme="minorHAnsi"/>
        </w:rPr>
        <w:t xml:space="preserve">: </w:t>
      </w:r>
      <w:r w:rsidR="00EA0430" w:rsidRPr="004C1D64">
        <w:rPr>
          <w:rFonts w:asciiTheme="minorHAnsi" w:hAnsiTheme="minorHAnsi"/>
        </w:rPr>
        <w:t>Option</w:t>
      </w:r>
      <w:r w:rsidR="004525E6" w:rsidRPr="004C1D64">
        <w:rPr>
          <w:rFonts w:asciiTheme="minorHAnsi" w:hAnsiTheme="minorHAnsi"/>
        </w:rPr>
        <w:t xml:space="preserve"> C </w:t>
      </w:r>
      <w:r w:rsidR="00EA0430" w:rsidRPr="004C1D64">
        <w:rPr>
          <w:rFonts w:asciiTheme="minorHAnsi" w:hAnsiTheme="minorHAnsi"/>
        </w:rPr>
        <w:t xml:space="preserve">- </w:t>
      </w:r>
      <w:r w:rsidR="004C1D64">
        <w:rPr>
          <w:rFonts w:asciiTheme="minorHAnsi" w:hAnsiTheme="minorHAnsi"/>
        </w:rPr>
        <w:t>E</w:t>
      </w:r>
      <w:r w:rsidR="004C1D64" w:rsidRPr="0040059B">
        <w:rPr>
          <w:rFonts w:asciiTheme="minorHAnsi" w:hAnsiTheme="minorHAnsi"/>
        </w:rPr>
        <w:t xml:space="preserve">stablish a phased baseline strategy that uses fixed percentages of pollution reduction for nonpoint sources for specific periods of time. </w:t>
      </w:r>
      <w:r w:rsidR="009A5BD9" w:rsidRPr="009A5BD9">
        <w:rPr>
          <w:rFonts w:asciiTheme="minorHAnsi" w:hAnsiTheme="minorHAnsi"/>
        </w:rPr>
        <w:t>Under a phased baseline</w:t>
      </w:r>
      <w:r w:rsidR="009A5BD9">
        <w:rPr>
          <w:rFonts w:asciiTheme="minorHAnsi" w:hAnsiTheme="minorHAnsi"/>
        </w:rPr>
        <w:t xml:space="preserve"> </w:t>
      </w:r>
      <w:r w:rsidR="00F90767">
        <w:rPr>
          <w:rFonts w:asciiTheme="minorHAnsi" w:hAnsiTheme="minorHAnsi"/>
        </w:rPr>
        <w:t>approach</w:t>
      </w:r>
      <w:r w:rsidR="009A5BD9" w:rsidRPr="009A5BD9">
        <w:rPr>
          <w:rFonts w:asciiTheme="minorHAnsi" w:hAnsiTheme="minorHAnsi"/>
        </w:rPr>
        <w:t xml:space="preserve">, there is an initial period where baseline is set according to the actions outlined in the implementation plans of DMAs (set as a percentage reduction or a target quantity of BMPs). </w:t>
      </w:r>
      <w:r w:rsidR="004C1D64">
        <w:rPr>
          <w:rFonts w:asciiTheme="minorHAnsi" w:hAnsiTheme="minorHAnsi"/>
        </w:rPr>
        <w:t xml:space="preserve"> </w:t>
      </w:r>
      <w:r w:rsidR="004C1D64" w:rsidRPr="0040059B">
        <w:rPr>
          <w:rFonts w:asciiTheme="minorHAnsi" w:hAnsiTheme="minorHAnsi"/>
        </w:rPr>
        <w:t xml:space="preserve">Those percentages and time intervals should be based on past and likely BMP adoption rates, timelines within the TMDL, or other sources of information. </w:t>
      </w:r>
      <w:r w:rsidR="00876B32">
        <w:rPr>
          <w:rFonts w:asciiTheme="minorHAnsi" w:hAnsiTheme="minorHAnsi"/>
        </w:rPr>
        <w:t xml:space="preserve">After a period of time, baseline requirements increase. </w:t>
      </w:r>
      <w:r w:rsidR="004C1D64" w:rsidRPr="0040059B">
        <w:rPr>
          <w:rFonts w:asciiTheme="minorHAnsi" w:hAnsiTheme="minorHAnsi"/>
        </w:rPr>
        <w:t xml:space="preserve">If intervals are set at 5-year periods, an evaluation of progress should be conducted at each 5-year interval to assess progress toward meeting pollution reduction targets and adjustments made as </w:t>
      </w:r>
      <w:r w:rsidR="00F90767" w:rsidRPr="0040059B">
        <w:rPr>
          <w:rFonts w:asciiTheme="minorHAnsi" w:hAnsiTheme="minorHAnsi"/>
        </w:rPr>
        <w:t>needed.</w:t>
      </w:r>
      <w:r w:rsidR="00F90767" w:rsidRPr="009A5BD9">
        <w:rPr>
          <w:rFonts w:asciiTheme="minorHAnsi" w:hAnsiTheme="minorHAnsi"/>
        </w:rPr>
        <w:t xml:space="preserve"> There</w:t>
      </w:r>
      <w:r w:rsidR="009A5BD9" w:rsidRPr="009A5BD9">
        <w:rPr>
          <w:rFonts w:asciiTheme="minorHAnsi" w:hAnsiTheme="minorHAnsi"/>
        </w:rPr>
        <w:t xml:space="preserve"> might be interim periods where baseline equals a % reduction. </w:t>
      </w:r>
    </w:p>
    <w:p w:rsidR="00EA0430" w:rsidRDefault="00EA0430" w:rsidP="00EA0430">
      <w:pPr>
        <w:pStyle w:val="Default"/>
        <w:rPr>
          <w:rFonts w:asciiTheme="minorHAnsi" w:hAnsiTheme="minorHAnsi"/>
        </w:rPr>
      </w:pPr>
    </w:p>
    <w:p w:rsidR="00D568DD" w:rsidRPr="00D66166" w:rsidRDefault="00EA0430" w:rsidP="00D568DD">
      <w:pPr>
        <w:pStyle w:val="Default"/>
        <w:rPr>
          <w:rFonts w:asciiTheme="minorHAnsi" w:hAnsiTheme="minorHAnsi"/>
          <w:b/>
        </w:rPr>
      </w:pPr>
      <w:r>
        <w:rPr>
          <w:rFonts w:asciiTheme="minorHAnsi" w:hAnsiTheme="minorHAnsi"/>
          <w:b/>
        </w:rPr>
        <w:t xml:space="preserve">III. </w:t>
      </w:r>
      <w:r w:rsidRPr="00494CBB">
        <w:rPr>
          <w:rFonts w:asciiTheme="minorHAnsi" w:hAnsiTheme="minorHAnsi"/>
          <w:b/>
        </w:rPr>
        <w:t>Reasons to deviate from the default</w:t>
      </w:r>
      <w:r w:rsidRPr="00C01CBD">
        <w:rPr>
          <w:rFonts w:asciiTheme="minorHAnsi" w:hAnsiTheme="minorHAnsi"/>
          <w:b/>
        </w:rPr>
        <w:t>:</w:t>
      </w:r>
      <w:r>
        <w:rPr>
          <w:rFonts w:asciiTheme="minorHAnsi" w:hAnsiTheme="minorHAnsi"/>
          <w:b/>
        </w:rPr>
        <w:t xml:space="preserve"> </w:t>
      </w:r>
      <w:r>
        <w:rPr>
          <w:rFonts w:asciiTheme="minorHAnsi" w:hAnsiTheme="minorHAnsi"/>
        </w:rPr>
        <w:t>In some cases, a TMDL analysis may explicitly call out or indicate a baseline reduction requirement. In other cases, agencies may choose to set a fixed baseline requirement that stays constant over time. In either case, there may be reasons not to use a phased approach, especially if available resources constrain the type of analysis needed to support a phased baseline.</w:t>
      </w:r>
    </w:p>
    <w:p w:rsidR="000D0A2B" w:rsidRDefault="00C014D6">
      <w:pPr>
        <w:pStyle w:val="Default"/>
        <w:numPr>
          <w:ilvl w:val="0"/>
          <w:numId w:val="2"/>
        </w:numPr>
        <w:spacing w:before="240" w:after="120"/>
        <w:rPr>
          <w:rFonts w:asciiTheme="minorHAnsi" w:hAnsiTheme="minorHAnsi" w:cs="Arial"/>
          <w:bCs/>
          <w:i/>
          <w:u w:val="single"/>
        </w:rPr>
      </w:pPr>
      <w:r w:rsidRPr="00DF1D79">
        <w:rPr>
          <w:rFonts w:asciiTheme="minorHAnsi" w:hAnsiTheme="minorHAnsi" w:cs="Arial"/>
          <w:bCs/>
          <w:i/>
          <w:noProof/>
          <w:u w:val="single"/>
        </w:rPr>
        <w:t>Scale of applying baselines</w:t>
      </w:r>
    </w:p>
    <w:p w:rsidR="00494CBB" w:rsidRPr="00494CBB" w:rsidRDefault="00494CBB" w:rsidP="00494CBB">
      <w:pPr>
        <w:pStyle w:val="Default"/>
        <w:spacing w:before="240" w:after="120"/>
        <w:rPr>
          <w:rFonts w:asciiTheme="minorHAnsi" w:hAnsiTheme="minorHAnsi" w:cs="Arial"/>
          <w:b/>
          <w:bCs/>
        </w:rPr>
      </w:pPr>
      <w:r w:rsidRPr="00E441D9">
        <w:rPr>
          <w:rFonts w:asciiTheme="minorHAnsi" w:hAnsiTheme="minorHAnsi" w:cs="Arial"/>
          <w:b/>
          <w:bCs/>
        </w:rPr>
        <w:t xml:space="preserve">I. </w:t>
      </w:r>
      <w:r>
        <w:rPr>
          <w:rFonts w:asciiTheme="minorHAnsi" w:hAnsiTheme="minorHAnsi" w:cs="Arial"/>
          <w:b/>
          <w:bCs/>
        </w:rPr>
        <w:t>Options and e</w:t>
      </w:r>
      <w:r w:rsidRPr="00E441D9">
        <w:rPr>
          <w:rFonts w:asciiTheme="minorHAnsi" w:hAnsiTheme="minorHAnsi" w:cs="Arial"/>
          <w:b/>
          <w:bCs/>
        </w:rPr>
        <w:t>xamples</w:t>
      </w:r>
    </w:p>
    <w:tbl>
      <w:tblPr>
        <w:tblStyle w:val="TableGrid"/>
        <w:tblW w:w="0" w:type="auto"/>
        <w:tblLook w:val="04A0" w:firstRow="1" w:lastRow="0" w:firstColumn="1" w:lastColumn="0" w:noHBand="0" w:noVBand="1"/>
      </w:tblPr>
      <w:tblGrid>
        <w:gridCol w:w="5076"/>
        <w:gridCol w:w="5076"/>
      </w:tblGrid>
      <w:tr w:rsidR="00C014D6">
        <w:tc>
          <w:tcPr>
            <w:tcW w:w="5076" w:type="dxa"/>
          </w:tcPr>
          <w:p w:rsidR="00C014D6" w:rsidRPr="00E441D9" w:rsidRDefault="00C014D6" w:rsidP="0073377B">
            <w:pPr>
              <w:rPr>
                <w:b/>
              </w:rPr>
            </w:pPr>
            <w:r w:rsidRPr="00E441D9">
              <w:rPr>
                <w:b/>
              </w:rPr>
              <w:t>Option A</w:t>
            </w:r>
          </w:p>
          <w:p w:rsidR="00C014D6" w:rsidRDefault="00C014D6" w:rsidP="0073377B">
            <w:pPr>
              <w:rPr>
                <w:i/>
                <w:color w:val="FF0000"/>
              </w:rPr>
            </w:pPr>
            <w:r>
              <w:rPr>
                <w:i/>
              </w:rPr>
              <w:t xml:space="preserve">Baseline requirements are set for individual </w:t>
            </w:r>
            <w:r>
              <w:rPr>
                <w:i/>
              </w:rPr>
              <w:lastRenderedPageBreak/>
              <w:t>landowners.</w:t>
            </w:r>
          </w:p>
          <w:p w:rsidR="00C014D6" w:rsidRDefault="00C014D6" w:rsidP="0073377B">
            <w:pPr>
              <w:rPr>
                <w:rFonts w:asciiTheme="minorHAnsi" w:hAnsiTheme="minorHAnsi"/>
                <w:b/>
              </w:rPr>
            </w:pPr>
          </w:p>
          <w:p w:rsidR="00C014D6" w:rsidRDefault="00C014D6" w:rsidP="0073377B">
            <w:pPr>
              <w:rPr>
                <w:rFonts w:asciiTheme="minorHAnsi" w:hAnsiTheme="minorHAnsi"/>
                <w:b/>
              </w:rPr>
            </w:pPr>
            <w:r>
              <w:rPr>
                <w:rFonts w:asciiTheme="minorHAnsi" w:hAnsiTheme="minorHAnsi"/>
                <w:b/>
              </w:rPr>
              <w:t>Pros and Cons</w:t>
            </w:r>
          </w:p>
          <w:p w:rsidR="00C014D6" w:rsidRDefault="00C014D6" w:rsidP="0073377B">
            <w:pPr>
              <w:rPr>
                <w:rFonts w:asciiTheme="minorHAnsi" w:hAnsiTheme="minorHAnsi" w:cs="Arial"/>
                <w:bCs/>
                <w:u w:val="single"/>
              </w:rPr>
            </w:pPr>
            <w:r>
              <w:rPr>
                <w:rFonts w:asciiTheme="minorHAnsi" w:hAnsiTheme="minorHAnsi"/>
              </w:rPr>
              <w:t>This approach allows farmers to generate credits without relying on the actions of others.</w:t>
            </w:r>
          </w:p>
        </w:tc>
        <w:tc>
          <w:tcPr>
            <w:tcW w:w="5076" w:type="dxa"/>
          </w:tcPr>
          <w:p w:rsidR="00C014D6" w:rsidRPr="00E441D9" w:rsidRDefault="00C014D6" w:rsidP="0073377B">
            <w:pPr>
              <w:rPr>
                <w:b/>
              </w:rPr>
            </w:pPr>
            <w:r>
              <w:rPr>
                <w:b/>
              </w:rPr>
              <w:lastRenderedPageBreak/>
              <w:t>Option B</w:t>
            </w:r>
          </w:p>
          <w:p w:rsidR="00C014D6" w:rsidRDefault="00C014D6" w:rsidP="0073377B">
            <w:pPr>
              <w:rPr>
                <w:i/>
                <w:color w:val="FF0000"/>
              </w:rPr>
            </w:pPr>
            <w:r>
              <w:rPr>
                <w:i/>
              </w:rPr>
              <w:t xml:space="preserve">Baseline requirements are set for groups of farms at </w:t>
            </w:r>
            <w:r>
              <w:rPr>
                <w:i/>
              </w:rPr>
              <w:lastRenderedPageBreak/>
              <w:t>the watershed scale used in the TMDL for a load allocation.</w:t>
            </w:r>
          </w:p>
          <w:p w:rsidR="00C014D6" w:rsidRDefault="00C014D6" w:rsidP="0073377B">
            <w:pPr>
              <w:rPr>
                <w:rFonts w:asciiTheme="minorHAnsi" w:hAnsiTheme="minorHAnsi"/>
                <w:i/>
              </w:rPr>
            </w:pPr>
          </w:p>
          <w:p w:rsidR="00C014D6" w:rsidRDefault="00C014D6" w:rsidP="0073377B">
            <w:pPr>
              <w:rPr>
                <w:rFonts w:asciiTheme="minorHAnsi" w:hAnsiTheme="minorHAnsi"/>
                <w:b/>
              </w:rPr>
            </w:pPr>
            <w:r>
              <w:rPr>
                <w:rFonts w:asciiTheme="minorHAnsi" w:hAnsiTheme="minorHAnsi"/>
                <w:b/>
              </w:rPr>
              <w:t>Pros and Cons</w:t>
            </w:r>
          </w:p>
          <w:p w:rsidR="00C014D6" w:rsidRPr="007009ED" w:rsidRDefault="00C014D6" w:rsidP="00811E71">
            <w:pPr>
              <w:spacing w:after="120"/>
              <w:rPr>
                <w:rFonts w:asciiTheme="minorHAnsi" w:hAnsiTheme="minorHAnsi"/>
              </w:rPr>
            </w:pPr>
            <w:r>
              <w:rPr>
                <w:rFonts w:asciiTheme="minorHAnsi" w:hAnsiTheme="minorHAnsi"/>
              </w:rPr>
              <w:t>This approach provides incentives for groups of farms or watersheds to come up with more comprehensive strategies for reducing pollution. That coordination need can also serve as a barrier to trading.</w:t>
            </w:r>
          </w:p>
        </w:tc>
      </w:tr>
    </w:tbl>
    <w:p w:rsidR="00C014D6" w:rsidRDefault="00494CBB" w:rsidP="00C014D6">
      <w:pPr>
        <w:pStyle w:val="Default"/>
        <w:spacing w:before="240" w:after="120"/>
        <w:rPr>
          <w:rFonts w:ascii="Calibri" w:hAnsi="Calibri"/>
        </w:rPr>
      </w:pPr>
      <w:r w:rsidRPr="00671CB5">
        <w:rPr>
          <w:rFonts w:asciiTheme="minorHAnsi" w:hAnsiTheme="minorHAnsi" w:cs="Arial"/>
          <w:b/>
          <w:bCs/>
          <w:noProof/>
        </w:rPr>
        <w:lastRenderedPageBreak/>
        <w:t xml:space="preserve">II. </w:t>
      </w:r>
      <w:r w:rsidR="00F053AD" w:rsidRPr="00671CB5">
        <w:rPr>
          <w:rFonts w:asciiTheme="minorHAnsi" w:hAnsiTheme="minorHAnsi" w:cs="Arial"/>
          <w:b/>
          <w:bCs/>
          <w:noProof/>
        </w:rPr>
        <w:t>Recommended Default</w:t>
      </w:r>
      <w:r w:rsidR="00C014D6" w:rsidRPr="00671CB5">
        <w:rPr>
          <w:rFonts w:asciiTheme="minorHAnsi" w:hAnsiTheme="minorHAnsi" w:cs="Arial"/>
          <w:bCs/>
          <w:noProof/>
        </w:rPr>
        <w:t>: Option A - baseline requirements should be</w:t>
      </w:r>
      <w:r w:rsidR="00E007CE" w:rsidRPr="0040059B">
        <w:rPr>
          <w:rFonts w:asciiTheme="minorHAnsi" w:hAnsiTheme="minorHAnsi" w:cs="Arial"/>
          <w:bCs/>
          <w:noProof/>
        </w:rPr>
        <w:t xml:space="preserve"> </w:t>
      </w:r>
      <w:r w:rsidR="00C014D6">
        <w:rPr>
          <w:rFonts w:ascii="Calibri" w:hAnsi="Calibri"/>
        </w:rPr>
        <w:t>applied to individual credit-producing projects.</w:t>
      </w:r>
    </w:p>
    <w:p w:rsidR="00791A17" w:rsidRPr="006064E4" w:rsidRDefault="00791A17" w:rsidP="00C014D6">
      <w:pPr>
        <w:pStyle w:val="Default"/>
        <w:spacing w:before="240" w:after="120"/>
        <w:rPr>
          <w:rFonts w:asciiTheme="minorHAnsi" w:hAnsiTheme="minorHAnsi" w:cs="Arial"/>
          <w:bCs/>
          <w:noProof/>
          <w:u w:val="single"/>
        </w:rPr>
      </w:pPr>
      <w:r w:rsidRPr="00494CBB">
        <w:rPr>
          <w:rFonts w:asciiTheme="minorHAnsi" w:hAnsiTheme="minorHAnsi"/>
          <w:b/>
        </w:rPr>
        <w:t>III. Reasons to deviate from the default</w:t>
      </w:r>
      <w:r>
        <w:rPr>
          <w:rFonts w:asciiTheme="minorHAnsi" w:hAnsiTheme="minorHAnsi"/>
        </w:rPr>
        <w:t>: What other situations should we consider?</w:t>
      </w:r>
    </w:p>
    <w:p w:rsidR="008216FB" w:rsidRDefault="00C014D6">
      <w:pPr>
        <w:pStyle w:val="Default"/>
        <w:numPr>
          <w:ilvl w:val="0"/>
          <w:numId w:val="2"/>
        </w:numPr>
        <w:spacing w:before="240" w:after="120"/>
        <w:rPr>
          <w:rFonts w:asciiTheme="minorHAnsi" w:hAnsiTheme="minorHAnsi" w:cs="Arial"/>
          <w:bCs/>
          <w:i/>
          <w:u w:val="single"/>
        </w:rPr>
      </w:pPr>
      <w:r w:rsidRPr="00DF1D79">
        <w:rPr>
          <w:rFonts w:asciiTheme="minorHAnsi" w:hAnsiTheme="minorHAnsi" w:cs="Arial"/>
          <w:bCs/>
          <w:i/>
          <w:noProof/>
          <w:u w:val="single"/>
        </w:rPr>
        <w:t>Timing of meeting baselines</w:t>
      </w:r>
    </w:p>
    <w:p w:rsidR="00494CBB" w:rsidRPr="00494CBB" w:rsidRDefault="00494CBB" w:rsidP="00494CBB">
      <w:pPr>
        <w:pStyle w:val="Default"/>
        <w:spacing w:before="240" w:after="120"/>
        <w:rPr>
          <w:rFonts w:asciiTheme="minorHAnsi" w:hAnsiTheme="minorHAnsi" w:cs="Arial"/>
          <w:b/>
          <w:bCs/>
        </w:rPr>
      </w:pPr>
      <w:r w:rsidRPr="00E441D9">
        <w:rPr>
          <w:rFonts w:asciiTheme="minorHAnsi" w:hAnsiTheme="minorHAnsi" w:cs="Arial"/>
          <w:b/>
          <w:bCs/>
        </w:rPr>
        <w:t xml:space="preserve">I. </w:t>
      </w:r>
      <w:r>
        <w:rPr>
          <w:rFonts w:asciiTheme="minorHAnsi" w:hAnsiTheme="minorHAnsi" w:cs="Arial"/>
          <w:b/>
          <w:bCs/>
        </w:rPr>
        <w:t>Options and e</w:t>
      </w:r>
      <w:r w:rsidRPr="00E441D9">
        <w:rPr>
          <w:rFonts w:asciiTheme="minorHAnsi" w:hAnsiTheme="minorHAnsi" w:cs="Arial"/>
          <w:b/>
          <w:bCs/>
        </w:rPr>
        <w:t>xamples</w:t>
      </w:r>
    </w:p>
    <w:tbl>
      <w:tblPr>
        <w:tblStyle w:val="TableGrid"/>
        <w:tblW w:w="0" w:type="auto"/>
        <w:tblLook w:val="04A0" w:firstRow="1" w:lastRow="0" w:firstColumn="1" w:lastColumn="0" w:noHBand="0" w:noVBand="1"/>
      </w:tblPr>
      <w:tblGrid>
        <w:gridCol w:w="5076"/>
        <w:gridCol w:w="5076"/>
      </w:tblGrid>
      <w:tr w:rsidR="00C014D6">
        <w:tc>
          <w:tcPr>
            <w:tcW w:w="5076" w:type="dxa"/>
          </w:tcPr>
          <w:p w:rsidR="00C014D6" w:rsidRPr="00E441D9" w:rsidRDefault="00C014D6" w:rsidP="0073377B">
            <w:pPr>
              <w:rPr>
                <w:b/>
              </w:rPr>
            </w:pPr>
            <w:r w:rsidRPr="00E441D9">
              <w:rPr>
                <w:b/>
              </w:rPr>
              <w:t>Option A</w:t>
            </w:r>
          </w:p>
          <w:p w:rsidR="00C014D6" w:rsidRDefault="00C014D6" w:rsidP="0073377B">
            <w:pPr>
              <w:rPr>
                <w:i/>
                <w:color w:val="FF0000"/>
              </w:rPr>
            </w:pPr>
            <w:r>
              <w:rPr>
                <w:i/>
              </w:rPr>
              <w:t>All baseline requirements must be met prior to implementing any BMP-generating credits.</w:t>
            </w:r>
          </w:p>
          <w:p w:rsidR="00C014D6" w:rsidRDefault="00C014D6" w:rsidP="0073377B">
            <w:pPr>
              <w:rPr>
                <w:rFonts w:asciiTheme="minorHAnsi" w:hAnsiTheme="minorHAnsi"/>
                <w:i/>
              </w:rPr>
            </w:pPr>
          </w:p>
          <w:p w:rsidR="00C014D6" w:rsidRDefault="00C014D6" w:rsidP="0073377B">
            <w:pPr>
              <w:rPr>
                <w:rFonts w:asciiTheme="minorHAnsi" w:hAnsiTheme="minorHAnsi"/>
                <w:b/>
              </w:rPr>
            </w:pPr>
          </w:p>
          <w:p w:rsidR="00C014D6" w:rsidRDefault="00C014D6" w:rsidP="0073377B">
            <w:pPr>
              <w:rPr>
                <w:rFonts w:asciiTheme="minorHAnsi" w:hAnsiTheme="minorHAnsi"/>
                <w:b/>
              </w:rPr>
            </w:pPr>
            <w:r>
              <w:rPr>
                <w:rFonts w:asciiTheme="minorHAnsi" w:hAnsiTheme="minorHAnsi"/>
                <w:b/>
              </w:rPr>
              <w:t>Pros and Cons</w:t>
            </w:r>
          </w:p>
          <w:p w:rsidR="00C014D6" w:rsidRDefault="00C014D6" w:rsidP="0073377B">
            <w:pPr>
              <w:rPr>
                <w:rFonts w:asciiTheme="minorHAnsi" w:hAnsiTheme="minorHAnsi" w:cs="Arial"/>
                <w:bCs/>
                <w:u w:val="single"/>
              </w:rPr>
            </w:pPr>
            <w:r>
              <w:rPr>
                <w:rFonts w:asciiTheme="minorHAnsi" w:hAnsiTheme="minorHAnsi"/>
              </w:rPr>
              <w:t>This can be a tough bar to achieve for many project developers because it increases the time to generating credits</w:t>
            </w:r>
            <w:r>
              <w:rPr>
                <w:rFonts w:asciiTheme="minorHAnsi" w:hAnsiTheme="minorHAnsi" w:cs="Arial"/>
                <w:bCs/>
              </w:rPr>
              <w:t>. On the other hand, it ensures that baselines are met.</w:t>
            </w:r>
          </w:p>
        </w:tc>
        <w:tc>
          <w:tcPr>
            <w:tcW w:w="5076" w:type="dxa"/>
          </w:tcPr>
          <w:p w:rsidR="00C014D6" w:rsidRPr="00E441D9" w:rsidRDefault="00C014D6" w:rsidP="0073377B">
            <w:pPr>
              <w:rPr>
                <w:b/>
              </w:rPr>
            </w:pPr>
            <w:r>
              <w:rPr>
                <w:b/>
              </w:rPr>
              <w:t>Option B</w:t>
            </w:r>
          </w:p>
          <w:p w:rsidR="00C014D6" w:rsidRDefault="00C014D6" w:rsidP="0073377B">
            <w:pPr>
              <w:rPr>
                <w:i/>
                <w:color w:val="FF0000"/>
              </w:rPr>
            </w:pPr>
            <w:r>
              <w:rPr>
                <w:i/>
              </w:rPr>
              <w:t>Baseline requirements can be met simultaneously with implementing credit-generating BMPs, but before any credits are sold.</w:t>
            </w:r>
          </w:p>
          <w:p w:rsidR="00C014D6" w:rsidRDefault="00C014D6" w:rsidP="0073377B">
            <w:pPr>
              <w:rPr>
                <w:rFonts w:asciiTheme="minorHAnsi" w:hAnsiTheme="minorHAnsi"/>
                <w:i/>
              </w:rPr>
            </w:pPr>
          </w:p>
          <w:p w:rsidR="00C014D6" w:rsidRDefault="00C014D6" w:rsidP="0073377B">
            <w:pPr>
              <w:rPr>
                <w:rFonts w:asciiTheme="minorHAnsi" w:hAnsiTheme="minorHAnsi"/>
                <w:b/>
              </w:rPr>
            </w:pPr>
            <w:r>
              <w:rPr>
                <w:rFonts w:asciiTheme="minorHAnsi" w:hAnsiTheme="minorHAnsi"/>
                <w:b/>
              </w:rPr>
              <w:t>Pros and Cons</w:t>
            </w:r>
          </w:p>
          <w:p w:rsidR="005F29F8" w:rsidRDefault="00C014D6" w:rsidP="0040059B">
            <w:pPr>
              <w:spacing w:after="120"/>
              <w:rPr>
                <w:rFonts w:asciiTheme="minorHAnsi" w:hAnsiTheme="minorHAnsi"/>
              </w:rPr>
            </w:pPr>
            <w:r>
              <w:rPr>
                <w:rFonts w:asciiTheme="minorHAnsi" w:hAnsiTheme="minorHAnsi"/>
              </w:rPr>
              <w:t>This approach allows project developers to take care of their baseline requirements simultaneously with the actions needed to generate credits. This can be implemented through a trading ratio when baseline is expressed as a % reduction, or as part of verification to ensure inspection of minimum BMPs. This approach also provides stable funding for baseline.</w:t>
            </w:r>
          </w:p>
        </w:tc>
      </w:tr>
    </w:tbl>
    <w:p w:rsidR="00C014D6" w:rsidRDefault="00E007CE" w:rsidP="00C014D6">
      <w:pPr>
        <w:pStyle w:val="Default"/>
        <w:spacing w:before="240" w:after="120"/>
        <w:rPr>
          <w:rFonts w:ascii="Calibri" w:hAnsi="Calibri"/>
        </w:rPr>
      </w:pPr>
      <w:r w:rsidRPr="0040059B">
        <w:rPr>
          <w:rFonts w:asciiTheme="minorHAnsi" w:hAnsiTheme="minorHAnsi" w:cs="Arial"/>
          <w:b/>
          <w:bCs/>
          <w:noProof/>
        </w:rPr>
        <w:t>II. Recommended Default</w:t>
      </w:r>
      <w:r w:rsidRPr="0040059B">
        <w:rPr>
          <w:rFonts w:asciiTheme="minorHAnsi" w:hAnsiTheme="minorHAnsi" w:cs="Arial"/>
          <w:bCs/>
          <w:noProof/>
        </w:rPr>
        <w:t xml:space="preserve">: Option B - </w:t>
      </w:r>
      <w:r w:rsidR="00C014D6">
        <w:rPr>
          <w:rFonts w:ascii="Calibri" w:hAnsi="Calibri"/>
        </w:rPr>
        <w:t>baseline requirements can be met simultaneously with credit-producing activities, but must be confirmed as being met prior to selling any credits.</w:t>
      </w:r>
    </w:p>
    <w:p w:rsidR="00791A17" w:rsidRPr="006064E4" w:rsidRDefault="00791A17" w:rsidP="00C014D6">
      <w:pPr>
        <w:pStyle w:val="Default"/>
        <w:spacing w:before="240" w:after="120"/>
        <w:rPr>
          <w:rFonts w:asciiTheme="minorHAnsi" w:hAnsiTheme="minorHAnsi" w:cs="Arial"/>
          <w:bCs/>
          <w:noProof/>
          <w:u w:val="single"/>
        </w:rPr>
      </w:pPr>
      <w:r w:rsidRPr="00494CBB">
        <w:rPr>
          <w:rFonts w:asciiTheme="minorHAnsi" w:hAnsiTheme="minorHAnsi"/>
          <w:b/>
        </w:rPr>
        <w:t>III. Reasons to deviate from the default</w:t>
      </w:r>
      <w:r>
        <w:rPr>
          <w:rFonts w:asciiTheme="minorHAnsi" w:hAnsiTheme="minorHAnsi"/>
        </w:rPr>
        <w:t>: What other situations should we consider?</w:t>
      </w:r>
    </w:p>
    <w:p w:rsidR="000D0A2B" w:rsidRDefault="00C014D6">
      <w:pPr>
        <w:pStyle w:val="Default"/>
        <w:numPr>
          <w:ilvl w:val="0"/>
          <w:numId w:val="2"/>
        </w:numPr>
        <w:spacing w:before="240" w:after="120"/>
        <w:rPr>
          <w:rFonts w:asciiTheme="minorHAnsi" w:hAnsiTheme="minorHAnsi" w:cs="Arial"/>
          <w:bCs/>
          <w:i/>
          <w:u w:val="single"/>
        </w:rPr>
      </w:pPr>
      <w:r w:rsidRPr="00DF1D79">
        <w:rPr>
          <w:rFonts w:asciiTheme="minorHAnsi" w:hAnsiTheme="minorHAnsi" w:cs="Arial"/>
          <w:bCs/>
          <w:i/>
          <w:noProof/>
          <w:u w:val="single"/>
        </w:rPr>
        <w:t>Setting a base year</w:t>
      </w:r>
      <w:r w:rsidR="008651CE">
        <w:rPr>
          <w:rFonts w:asciiTheme="minorHAnsi" w:hAnsiTheme="minorHAnsi" w:cs="Arial"/>
          <w:bCs/>
          <w:i/>
          <w:noProof/>
          <w:u w:val="single"/>
        </w:rPr>
        <w:t xml:space="preserve"> </w:t>
      </w:r>
      <w:r w:rsidR="008C722D">
        <w:rPr>
          <w:rFonts w:asciiTheme="minorHAnsi" w:hAnsiTheme="minorHAnsi" w:cs="Arial"/>
          <w:bCs/>
          <w:i/>
          <w:noProof/>
          <w:u w:val="single"/>
        </w:rPr>
        <w:t>for creditable actions</w:t>
      </w:r>
    </w:p>
    <w:p w:rsidR="00494CBB" w:rsidRPr="00494CBB" w:rsidRDefault="00494CBB" w:rsidP="00494CBB">
      <w:pPr>
        <w:pStyle w:val="Default"/>
        <w:spacing w:before="240" w:after="120"/>
        <w:rPr>
          <w:rFonts w:asciiTheme="minorHAnsi" w:hAnsiTheme="minorHAnsi" w:cs="Arial"/>
          <w:b/>
          <w:bCs/>
        </w:rPr>
      </w:pPr>
      <w:r w:rsidRPr="00E441D9">
        <w:rPr>
          <w:rFonts w:asciiTheme="minorHAnsi" w:hAnsiTheme="minorHAnsi" w:cs="Arial"/>
          <w:b/>
          <w:bCs/>
        </w:rPr>
        <w:t xml:space="preserve">I. </w:t>
      </w:r>
      <w:r>
        <w:rPr>
          <w:rFonts w:asciiTheme="minorHAnsi" w:hAnsiTheme="minorHAnsi" w:cs="Arial"/>
          <w:b/>
          <w:bCs/>
        </w:rPr>
        <w:t>Options and e</w:t>
      </w:r>
      <w:r w:rsidRPr="00E441D9">
        <w:rPr>
          <w:rFonts w:asciiTheme="minorHAnsi" w:hAnsiTheme="minorHAnsi" w:cs="Arial"/>
          <w:b/>
          <w:bCs/>
        </w:rPr>
        <w:t>xamples</w:t>
      </w:r>
    </w:p>
    <w:tbl>
      <w:tblPr>
        <w:tblStyle w:val="TableGrid"/>
        <w:tblW w:w="0" w:type="auto"/>
        <w:tblLook w:val="04A0" w:firstRow="1" w:lastRow="0" w:firstColumn="1" w:lastColumn="0" w:noHBand="0" w:noVBand="1"/>
      </w:tblPr>
      <w:tblGrid>
        <w:gridCol w:w="5076"/>
        <w:gridCol w:w="5076"/>
      </w:tblGrid>
      <w:tr w:rsidR="00C014D6">
        <w:tc>
          <w:tcPr>
            <w:tcW w:w="5076" w:type="dxa"/>
          </w:tcPr>
          <w:p w:rsidR="00C014D6" w:rsidRPr="00E441D9" w:rsidRDefault="00C014D6" w:rsidP="0073377B">
            <w:pPr>
              <w:rPr>
                <w:b/>
              </w:rPr>
            </w:pPr>
            <w:r w:rsidRPr="00E441D9">
              <w:rPr>
                <w:b/>
              </w:rPr>
              <w:t>Option A</w:t>
            </w:r>
          </w:p>
          <w:p w:rsidR="00C014D6" w:rsidRPr="00EC3F3F" w:rsidRDefault="00C014D6" w:rsidP="0073377B">
            <w:pPr>
              <w:rPr>
                <w:i/>
              </w:rPr>
            </w:pPr>
            <w:r>
              <w:rPr>
                <w:i/>
              </w:rPr>
              <w:t xml:space="preserve">Credits can be generated for any “new” </w:t>
            </w:r>
          </w:p>
          <w:p w:rsidR="00C014D6" w:rsidRDefault="00C014D6" w:rsidP="0073377B">
            <w:pPr>
              <w:rPr>
                <w:i/>
                <w:color w:val="FF0000"/>
              </w:rPr>
            </w:pPr>
            <w:r w:rsidRPr="00EC3F3F">
              <w:rPr>
                <w:i/>
              </w:rPr>
              <w:t>BMPs implemented after the approval of a TMDL or a renewed NPDES permit where there is no TMDL.</w:t>
            </w:r>
          </w:p>
          <w:p w:rsidR="00C014D6" w:rsidRDefault="00C014D6" w:rsidP="0073377B">
            <w:pPr>
              <w:rPr>
                <w:rFonts w:asciiTheme="minorHAnsi" w:hAnsiTheme="minorHAnsi"/>
                <w:i/>
              </w:rPr>
            </w:pPr>
          </w:p>
          <w:p w:rsidR="00C014D6" w:rsidRDefault="00C014D6" w:rsidP="0073377B">
            <w:pPr>
              <w:rPr>
                <w:rFonts w:asciiTheme="minorHAnsi" w:hAnsiTheme="minorHAnsi"/>
                <w:b/>
              </w:rPr>
            </w:pPr>
            <w:r>
              <w:rPr>
                <w:rFonts w:asciiTheme="minorHAnsi" w:hAnsiTheme="minorHAnsi"/>
                <w:b/>
              </w:rPr>
              <w:t>Pros and Cons</w:t>
            </w:r>
          </w:p>
          <w:p w:rsidR="00C014D6" w:rsidRDefault="00C014D6" w:rsidP="0073377B">
            <w:pPr>
              <w:rPr>
                <w:rFonts w:asciiTheme="minorHAnsi" w:hAnsiTheme="minorHAnsi" w:cs="Arial"/>
                <w:bCs/>
                <w:u w:val="single"/>
              </w:rPr>
            </w:pPr>
            <w:r>
              <w:rPr>
                <w:rFonts w:asciiTheme="minorHAnsi" w:hAnsiTheme="minorHAnsi"/>
              </w:rPr>
              <w:t xml:space="preserve">This may be one of the most straightforward ways to approach setting a base year. </w:t>
            </w:r>
            <w:r w:rsidR="00F90D11">
              <w:rPr>
                <w:rFonts w:asciiTheme="minorHAnsi" w:hAnsiTheme="minorHAnsi"/>
              </w:rPr>
              <w:t>However, i</w:t>
            </w:r>
            <w:r>
              <w:rPr>
                <w:rFonts w:asciiTheme="minorHAnsi" w:hAnsiTheme="minorHAnsi"/>
              </w:rPr>
              <w:t xml:space="preserve">t may </w:t>
            </w:r>
            <w:r>
              <w:rPr>
                <w:rFonts w:asciiTheme="minorHAnsi" w:hAnsiTheme="minorHAnsi"/>
              </w:rPr>
              <w:lastRenderedPageBreak/>
              <w:t xml:space="preserve">provide some disincentive for farmers with good non-structural BMPs to continue those BMPs leading up to a new TMDL of renewed NPDES permit with trading included. </w:t>
            </w:r>
          </w:p>
        </w:tc>
        <w:tc>
          <w:tcPr>
            <w:tcW w:w="5076" w:type="dxa"/>
          </w:tcPr>
          <w:p w:rsidR="00C014D6" w:rsidRPr="00E441D9" w:rsidRDefault="00C014D6" w:rsidP="0073377B">
            <w:pPr>
              <w:rPr>
                <w:b/>
              </w:rPr>
            </w:pPr>
            <w:r>
              <w:rPr>
                <w:b/>
              </w:rPr>
              <w:lastRenderedPageBreak/>
              <w:t>Option B</w:t>
            </w:r>
          </w:p>
          <w:p w:rsidR="00C014D6" w:rsidRPr="00EC3F3F" w:rsidRDefault="00C014D6" w:rsidP="0073377B">
            <w:pPr>
              <w:rPr>
                <w:i/>
              </w:rPr>
            </w:pPr>
            <w:r>
              <w:rPr>
                <w:i/>
              </w:rPr>
              <w:t xml:space="preserve">Credits can be generated for any “new” </w:t>
            </w:r>
          </w:p>
          <w:p w:rsidR="00C014D6" w:rsidRDefault="00C014D6" w:rsidP="0073377B">
            <w:pPr>
              <w:rPr>
                <w:i/>
                <w:color w:val="FF0000"/>
              </w:rPr>
            </w:pPr>
            <w:r w:rsidRPr="00EC3F3F">
              <w:rPr>
                <w:i/>
              </w:rPr>
              <w:t xml:space="preserve">BMPs implemented after the approval of </w:t>
            </w:r>
            <w:r>
              <w:rPr>
                <w:i/>
              </w:rPr>
              <w:t>a</w:t>
            </w:r>
            <w:r w:rsidR="008C722D">
              <w:rPr>
                <w:i/>
              </w:rPr>
              <w:t xml:space="preserve"> new or revised</w:t>
            </w:r>
            <w:r w:rsidR="00AD0A83">
              <w:rPr>
                <w:i/>
              </w:rPr>
              <w:t xml:space="preserve"> </w:t>
            </w:r>
            <w:r>
              <w:rPr>
                <w:i/>
              </w:rPr>
              <w:t>NPDES permit containing trading.</w:t>
            </w:r>
          </w:p>
          <w:p w:rsidR="00C014D6" w:rsidRDefault="00C014D6" w:rsidP="0073377B">
            <w:pPr>
              <w:rPr>
                <w:rFonts w:asciiTheme="minorHAnsi" w:hAnsiTheme="minorHAnsi"/>
                <w:i/>
              </w:rPr>
            </w:pPr>
          </w:p>
          <w:p w:rsidR="00C014D6" w:rsidRDefault="00C014D6" w:rsidP="0073377B">
            <w:pPr>
              <w:rPr>
                <w:rFonts w:asciiTheme="minorHAnsi" w:hAnsiTheme="minorHAnsi"/>
                <w:b/>
              </w:rPr>
            </w:pPr>
            <w:r>
              <w:rPr>
                <w:rFonts w:asciiTheme="minorHAnsi" w:hAnsiTheme="minorHAnsi"/>
                <w:b/>
              </w:rPr>
              <w:t>Pros and Cons</w:t>
            </w:r>
          </w:p>
          <w:p w:rsidR="005F29F8" w:rsidRDefault="00C014D6" w:rsidP="0040059B">
            <w:pPr>
              <w:spacing w:after="120"/>
              <w:rPr>
                <w:rFonts w:asciiTheme="minorHAnsi" w:hAnsiTheme="minorHAnsi"/>
              </w:rPr>
            </w:pPr>
            <w:r>
              <w:rPr>
                <w:rFonts w:asciiTheme="minorHAnsi" w:hAnsiTheme="minorHAnsi"/>
              </w:rPr>
              <w:t xml:space="preserve">This is also a relatively straightforward approach. Especially where the TMDL is a few years old or more, </w:t>
            </w:r>
            <w:r>
              <w:rPr>
                <w:rFonts w:asciiTheme="minorHAnsi" w:hAnsiTheme="minorHAnsi"/>
              </w:rPr>
              <w:lastRenderedPageBreak/>
              <w:t xml:space="preserve">allowing credits to be generated for all the practices already implemented presents questions of additionality. This option may provide some disincentive for farmers with good non-structural BMPs to continue those BMPs leading up to a new permit, but it also ensures work that would have (and did) </w:t>
            </w:r>
            <w:r w:rsidR="00F90D11">
              <w:rPr>
                <w:rFonts w:asciiTheme="minorHAnsi" w:hAnsiTheme="minorHAnsi"/>
              </w:rPr>
              <w:t xml:space="preserve">occur </w:t>
            </w:r>
            <w:r>
              <w:rPr>
                <w:rFonts w:asciiTheme="minorHAnsi" w:hAnsiTheme="minorHAnsi"/>
              </w:rPr>
              <w:t>anyway is not used to offset new impacts.</w:t>
            </w:r>
          </w:p>
        </w:tc>
      </w:tr>
      <w:tr w:rsidR="00C014D6">
        <w:tc>
          <w:tcPr>
            <w:tcW w:w="5076" w:type="dxa"/>
          </w:tcPr>
          <w:p w:rsidR="00C014D6" w:rsidRDefault="00C014D6" w:rsidP="0073377B">
            <w:pPr>
              <w:rPr>
                <w:b/>
              </w:rPr>
            </w:pPr>
            <w:r>
              <w:rPr>
                <w:b/>
              </w:rPr>
              <w:lastRenderedPageBreak/>
              <w:t>Option C</w:t>
            </w:r>
          </w:p>
          <w:p w:rsidR="00C014D6" w:rsidRDefault="00C014D6" w:rsidP="0073377B">
            <w:pPr>
              <w:rPr>
                <w:i/>
                <w:color w:val="FF0000"/>
              </w:rPr>
            </w:pPr>
            <w:r>
              <w:rPr>
                <w:i/>
              </w:rPr>
              <w:t>Any non-structural BMP that is implemented on an annual cycle is creditable, even if BMP has been implemented in years prior to signing a TMDL or a renewed NPDES permit.</w:t>
            </w:r>
          </w:p>
          <w:p w:rsidR="00C014D6" w:rsidRDefault="00C014D6" w:rsidP="0073377B">
            <w:pPr>
              <w:rPr>
                <w:rFonts w:asciiTheme="minorHAnsi" w:hAnsiTheme="minorHAnsi"/>
                <w:i/>
              </w:rPr>
            </w:pPr>
          </w:p>
          <w:p w:rsidR="00C014D6" w:rsidRDefault="00C014D6" w:rsidP="0073377B">
            <w:pPr>
              <w:rPr>
                <w:rFonts w:asciiTheme="minorHAnsi" w:hAnsiTheme="minorHAnsi"/>
                <w:b/>
              </w:rPr>
            </w:pPr>
            <w:r>
              <w:rPr>
                <w:rFonts w:asciiTheme="minorHAnsi" w:hAnsiTheme="minorHAnsi"/>
                <w:b/>
              </w:rPr>
              <w:t>Pros and Cons</w:t>
            </w:r>
          </w:p>
          <w:p w:rsidR="005F29F8" w:rsidRDefault="00C014D6" w:rsidP="0040059B">
            <w:pPr>
              <w:spacing w:after="120"/>
              <w:rPr>
                <w:b/>
              </w:rPr>
            </w:pPr>
            <w:r>
              <w:rPr>
                <w:rFonts w:asciiTheme="minorHAnsi" w:hAnsiTheme="minorHAnsi"/>
              </w:rPr>
              <w:t>Maryland uses this approach to incentiv</w:t>
            </w:r>
            <w:r w:rsidR="008C722D">
              <w:rPr>
                <w:rFonts w:asciiTheme="minorHAnsi" w:hAnsiTheme="minorHAnsi"/>
              </w:rPr>
              <w:t>ize</w:t>
            </w:r>
            <w:r>
              <w:rPr>
                <w:rFonts w:asciiTheme="minorHAnsi" w:hAnsiTheme="minorHAnsi"/>
              </w:rPr>
              <w:t xml:space="preserve"> ongoing use of non-structural BMPs. </w:t>
            </w:r>
            <w:r w:rsidR="009F449F">
              <w:rPr>
                <w:rFonts w:asciiTheme="minorHAnsi" w:hAnsiTheme="minorHAnsi"/>
              </w:rPr>
              <w:t xml:space="preserve">This approach provides credits for actions that occurred prior to a TMDL. Some have expressed concern that this may not produce additional benefits; others have argued that this is a way to prevent landowners from stopping beneficial practices to become eligible for credit sales. </w:t>
            </w:r>
            <w:r w:rsidR="00F90D11">
              <w:rPr>
                <w:rFonts w:asciiTheme="minorHAnsi" w:hAnsiTheme="minorHAnsi"/>
              </w:rPr>
              <w:t xml:space="preserve"> Maryland uses this approach to incentivize ongoing use of non-structural BMPs.</w:t>
            </w:r>
          </w:p>
        </w:tc>
        <w:tc>
          <w:tcPr>
            <w:tcW w:w="5076" w:type="dxa"/>
          </w:tcPr>
          <w:p w:rsidR="00C014D6" w:rsidRPr="00E441D9" w:rsidRDefault="00C014D6" w:rsidP="0073377B">
            <w:pPr>
              <w:rPr>
                <w:b/>
              </w:rPr>
            </w:pPr>
            <w:r>
              <w:rPr>
                <w:b/>
              </w:rPr>
              <w:t>Option D</w:t>
            </w:r>
          </w:p>
          <w:p w:rsidR="00C014D6" w:rsidRDefault="00C014D6" w:rsidP="0073377B">
            <w:pPr>
              <w:rPr>
                <w:i/>
              </w:rPr>
            </w:pPr>
            <w:r>
              <w:rPr>
                <w:i/>
              </w:rPr>
              <w:t>For non-structural BMPs, there is a “look-back” period prior to signing a TMDL or NPDES permit where BMPs are eligible to generate credits (e.g. 3 years).</w:t>
            </w:r>
          </w:p>
          <w:p w:rsidR="00C014D6" w:rsidRDefault="00C014D6" w:rsidP="0073377B">
            <w:pPr>
              <w:rPr>
                <w:i/>
              </w:rPr>
            </w:pPr>
          </w:p>
          <w:p w:rsidR="009F449F" w:rsidRDefault="009F449F" w:rsidP="0073377B">
            <w:pPr>
              <w:rPr>
                <w:rFonts w:asciiTheme="minorHAnsi" w:hAnsiTheme="minorHAnsi"/>
                <w:b/>
              </w:rPr>
            </w:pPr>
          </w:p>
          <w:p w:rsidR="00C014D6" w:rsidRDefault="00C014D6" w:rsidP="0073377B">
            <w:pPr>
              <w:rPr>
                <w:rFonts w:asciiTheme="minorHAnsi" w:hAnsiTheme="minorHAnsi"/>
                <w:b/>
              </w:rPr>
            </w:pPr>
            <w:r>
              <w:rPr>
                <w:rFonts w:asciiTheme="minorHAnsi" w:hAnsiTheme="minorHAnsi"/>
                <w:b/>
              </w:rPr>
              <w:t>Pros and Cons</w:t>
            </w:r>
          </w:p>
          <w:p w:rsidR="00C014D6" w:rsidRPr="009F76C4" w:rsidRDefault="00C014D6" w:rsidP="0073377B">
            <w:pPr>
              <w:rPr>
                <w:i/>
                <w:color w:val="FF0000"/>
              </w:rPr>
            </w:pPr>
            <w:r>
              <w:rPr>
                <w:rFonts w:asciiTheme="minorHAnsi" w:hAnsiTheme="minorHAnsi"/>
              </w:rPr>
              <w:t>The Ohio Basin program uses this approach to strike a balance between Options A and B. This approach rewards good actors.</w:t>
            </w:r>
            <w:r w:rsidR="009F449F">
              <w:rPr>
                <w:rFonts w:asciiTheme="minorHAnsi" w:hAnsiTheme="minorHAnsi"/>
              </w:rPr>
              <w:t xml:space="preserve"> However, a “look-back” period provides credits for actions that occurred prior to a TMDL, which in some cases may not be additional. </w:t>
            </w:r>
            <w:r w:rsidR="00F90D11">
              <w:rPr>
                <w:rFonts w:asciiTheme="minorHAnsi" w:hAnsiTheme="minorHAnsi"/>
              </w:rPr>
              <w:t xml:space="preserve">The Ohio Basin program uses this approach to strike a </w:t>
            </w:r>
            <w:r w:rsidR="00F20008">
              <w:rPr>
                <w:rFonts w:asciiTheme="minorHAnsi" w:hAnsiTheme="minorHAnsi"/>
              </w:rPr>
              <w:t>balance</w:t>
            </w:r>
            <w:r w:rsidR="00F90D11">
              <w:rPr>
                <w:rFonts w:asciiTheme="minorHAnsi" w:hAnsiTheme="minorHAnsi"/>
              </w:rPr>
              <w:t xml:space="preserve"> between options A and B. </w:t>
            </w:r>
          </w:p>
        </w:tc>
      </w:tr>
    </w:tbl>
    <w:p w:rsidR="00C014D6" w:rsidRDefault="00C014D6" w:rsidP="00C014D6">
      <w:pPr>
        <w:pStyle w:val="Default"/>
        <w:tabs>
          <w:tab w:val="left" w:pos="810"/>
        </w:tabs>
        <w:rPr>
          <w:rFonts w:asciiTheme="minorHAnsi" w:hAnsiTheme="minorHAnsi" w:cs="Arial"/>
          <w:b/>
          <w:bCs/>
          <w:noProof/>
          <w:u w:val="single"/>
        </w:rPr>
      </w:pPr>
    </w:p>
    <w:p w:rsidR="000D0A2B" w:rsidRDefault="00E007CE">
      <w:pPr>
        <w:pStyle w:val="Default"/>
        <w:tabs>
          <w:tab w:val="left" w:pos="810"/>
        </w:tabs>
        <w:rPr>
          <w:rFonts w:ascii="Calibri" w:hAnsi="Calibri"/>
        </w:rPr>
      </w:pPr>
      <w:r w:rsidRPr="0040059B">
        <w:rPr>
          <w:rFonts w:asciiTheme="minorHAnsi" w:hAnsiTheme="minorHAnsi" w:cs="Arial"/>
          <w:b/>
          <w:bCs/>
          <w:noProof/>
        </w:rPr>
        <w:t>II. Recommended Default</w:t>
      </w:r>
      <w:r w:rsidRPr="0040059B">
        <w:rPr>
          <w:rFonts w:asciiTheme="minorHAnsi" w:hAnsiTheme="minorHAnsi" w:cs="Arial"/>
          <w:bCs/>
          <w:noProof/>
        </w:rPr>
        <w:t xml:space="preserve">: Option A - </w:t>
      </w:r>
      <w:r w:rsidR="00C014D6" w:rsidRPr="00F90D11">
        <w:rPr>
          <w:rFonts w:ascii="Calibri" w:hAnsi="Calibri"/>
        </w:rPr>
        <w:t>All</w:t>
      </w:r>
      <w:r w:rsidR="00C014D6">
        <w:rPr>
          <w:rFonts w:ascii="Calibri" w:hAnsi="Calibri"/>
        </w:rPr>
        <w:t xml:space="preserve"> trading programs will define a date after which implemented BMPs are eligible to generate credits. This date should be tied to the approval of a TMDL or a renewed NPDES permit for trades in watersheds without a TMDL.</w:t>
      </w:r>
    </w:p>
    <w:p w:rsidR="00791A17" w:rsidRDefault="00791A17">
      <w:pPr>
        <w:pStyle w:val="Default"/>
        <w:tabs>
          <w:tab w:val="left" w:pos="810"/>
        </w:tabs>
        <w:rPr>
          <w:rFonts w:ascii="Calibri" w:hAnsi="Calibri"/>
        </w:rPr>
      </w:pPr>
    </w:p>
    <w:p w:rsidR="00791A17" w:rsidRDefault="00791A17">
      <w:pPr>
        <w:pStyle w:val="Default"/>
        <w:tabs>
          <w:tab w:val="left" w:pos="810"/>
        </w:tabs>
        <w:rPr>
          <w:rFonts w:ascii="Calibri" w:hAnsi="Calibri"/>
        </w:rPr>
      </w:pPr>
      <w:r w:rsidRPr="00494CBB">
        <w:rPr>
          <w:rFonts w:asciiTheme="minorHAnsi" w:hAnsiTheme="minorHAnsi"/>
          <w:b/>
        </w:rPr>
        <w:t>III. Reasons to deviate from the default</w:t>
      </w:r>
      <w:r>
        <w:rPr>
          <w:rFonts w:asciiTheme="minorHAnsi" w:hAnsiTheme="minorHAnsi"/>
        </w:rPr>
        <w:t>: What other situations should we consider?</w:t>
      </w:r>
    </w:p>
    <w:p w:rsidR="000D0A2B" w:rsidRDefault="00C014D6">
      <w:pPr>
        <w:pStyle w:val="Default"/>
        <w:numPr>
          <w:ilvl w:val="0"/>
          <w:numId w:val="2"/>
        </w:numPr>
        <w:spacing w:before="240" w:after="120"/>
        <w:rPr>
          <w:rFonts w:asciiTheme="minorHAnsi" w:hAnsiTheme="minorHAnsi" w:cs="Arial"/>
          <w:bCs/>
          <w:i/>
          <w:u w:val="single"/>
        </w:rPr>
      </w:pPr>
      <w:r w:rsidRPr="00DF1D79">
        <w:rPr>
          <w:rFonts w:asciiTheme="minorHAnsi" w:hAnsiTheme="minorHAnsi" w:cs="Arial"/>
          <w:bCs/>
          <w:i/>
          <w:noProof/>
          <w:u w:val="single"/>
        </w:rPr>
        <w:t>Use of public cost share to meet baselines</w:t>
      </w:r>
    </w:p>
    <w:p w:rsidR="00494CBB" w:rsidRPr="00494CBB" w:rsidRDefault="00494CBB" w:rsidP="00494CBB">
      <w:pPr>
        <w:pStyle w:val="Default"/>
        <w:spacing w:before="240" w:after="120"/>
        <w:rPr>
          <w:rFonts w:asciiTheme="minorHAnsi" w:hAnsiTheme="minorHAnsi" w:cs="Arial"/>
          <w:b/>
          <w:bCs/>
        </w:rPr>
      </w:pPr>
      <w:r w:rsidRPr="00E441D9">
        <w:rPr>
          <w:rFonts w:asciiTheme="minorHAnsi" w:hAnsiTheme="minorHAnsi" w:cs="Arial"/>
          <w:b/>
          <w:bCs/>
        </w:rPr>
        <w:t xml:space="preserve">I. </w:t>
      </w:r>
      <w:r>
        <w:rPr>
          <w:rFonts w:asciiTheme="minorHAnsi" w:hAnsiTheme="minorHAnsi" w:cs="Arial"/>
          <w:b/>
          <w:bCs/>
        </w:rPr>
        <w:t>Options and e</w:t>
      </w:r>
      <w:r w:rsidRPr="00E441D9">
        <w:rPr>
          <w:rFonts w:asciiTheme="minorHAnsi" w:hAnsiTheme="minorHAnsi" w:cs="Arial"/>
          <w:b/>
          <w:bCs/>
        </w:rPr>
        <w:t>xamples</w:t>
      </w:r>
    </w:p>
    <w:tbl>
      <w:tblPr>
        <w:tblStyle w:val="TableGrid"/>
        <w:tblW w:w="10304" w:type="dxa"/>
        <w:tblLook w:val="04A0" w:firstRow="1" w:lastRow="0" w:firstColumn="1" w:lastColumn="0" w:noHBand="0" w:noVBand="1"/>
      </w:tblPr>
      <w:tblGrid>
        <w:gridCol w:w="5152"/>
        <w:gridCol w:w="5152"/>
      </w:tblGrid>
      <w:tr w:rsidR="00C014D6">
        <w:trPr>
          <w:trHeight w:val="2694"/>
        </w:trPr>
        <w:tc>
          <w:tcPr>
            <w:tcW w:w="5152" w:type="dxa"/>
          </w:tcPr>
          <w:p w:rsidR="00C014D6" w:rsidRPr="00E441D9" w:rsidRDefault="00C014D6" w:rsidP="0073377B">
            <w:pPr>
              <w:rPr>
                <w:b/>
              </w:rPr>
            </w:pPr>
            <w:r w:rsidRPr="00E441D9">
              <w:rPr>
                <w:b/>
              </w:rPr>
              <w:t>Option A</w:t>
            </w:r>
          </w:p>
          <w:p w:rsidR="00C014D6" w:rsidRDefault="00C014D6" w:rsidP="0073377B">
            <w:pPr>
              <w:rPr>
                <w:i/>
                <w:color w:val="FF0000"/>
              </w:rPr>
            </w:pPr>
            <w:r>
              <w:rPr>
                <w:i/>
              </w:rPr>
              <w:t>Public cost share dollars can be used to meet baseline requirements, but only when expressed as minimum BMPs.</w:t>
            </w:r>
          </w:p>
          <w:p w:rsidR="00C014D6" w:rsidRDefault="00C014D6" w:rsidP="0073377B">
            <w:pPr>
              <w:rPr>
                <w:rFonts w:asciiTheme="minorHAnsi" w:hAnsiTheme="minorHAnsi"/>
                <w:i/>
              </w:rPr>
            </w:pPr>
          </w:p>
          <w:p w:rsidR="00C014D6" w:rsidRDefault="00C014D6" w:rsidP="0073377B">
            <w:pPr>
              <w:rPr>
                <w:rFonts w:asciiTheme="minorHAnsi" w:hAnsiTheme="minorHAnsi"/>
                <w:b/>
              </w:rPr>
            </w:pPr>
            <w:r>
              <w:rPr>
                <w:rFonts w:asciiTheme="minorHAnsi" w:hAnsiTheme="minorHAnsi"/>
                <w:b/>
              </w:rPr>
              <w:t>Pros and Cons</w:t>
            </w:r>
          </w:p>
          <w:p w:rsidR="00C014D6" w:rsidRPr="00281604" w:rsidRDefault="00C014D6" w:rsidP="00281604">
            <w:pPr>
              <w:rPr>
                <w:rFonts w:asciiTheme="minorHAnsi" w:hAnsiTheme="minorHAnsi" w:cs="Arial"/>
                <w:bCs/>
              </w:rPr>
            </w:pPr>
            <w:r>
              <w:rPr>
                <w:rFonts w:asciiTheme="minorHAnsi" w:hAnsiTheme="minorHAnsi" w:cs="Arial"/>
                <w:bCs/>
              </w:rPr>
              <w:t>No states that we know of differentiate use of cost share between baselines expressed as minimum BMPs or % reductions in pollution</w:t>
            </w:r>
            <w:r w:rsidR="003C4AC3">
              <w:rPr>
                <w:rFonts w:asciiTheme="minorHAnsi" w:hAnsiTheme="minorHAnsi" w:cs="Arial"/>
                <w:bCs/>
              </w:rPr>
              <w:t>.</w:t>
            </w:r>
          </w:p>
        </w:tc>
        <w:tc>
          <w:tcPr>
            <w:tcW w:w="5152" w:type="dxa"/>
          </w:tcPr>
          <w:p w:rsidR="00C014D6" w:rsidRPr="00E441D9" w:rsidRDefault="00C014D6" w:rsidP="0073377B">
            <w:pPr>
              <w:rPr>
                <w:b/>
              </w:rPr>
            </w:pPr>
            <w:r>
              <w:rPr>
                <w:b/>
              </w:rPr>
              <w:t>Option B</w:t>
            </w:r>
          </w:p>
          <w:p w:rsidR="00C014D6" w:rsidRDefault="00C014D6" w:rsidP="0073377B">
            <w:pPr>
              <w:rPr>
                <w:i/>
                <w:color w:val="FF0000"/>
              </w:rPr>
            </w:pPr>
            <w:r>
              <w:rPr>
                <w:i/>
              </w:rPr>
              <w:t>Public cost share dollars can be used to meet baseline requirements.</w:t>
            </w:r>
          </w:p>
          <w:p w:rsidR="00C014D6" w:rsidRDefault="00C014D6" w:rsidP="0073377B">
            <w:pPr>
              <w:rPr>
                <w:rFonts w:asciiTheme="minorHAnsi" w:hAnsiTheme="minorHAnsi"/>
                <w:b/>
              </w:rPr>
            </w:pPr>
          </w:p>
          <w:p w:rsidR="00C014D6" w:rsidRDefault="00C014D6" w:rsidP="0073377B">
            <w:pPr>
              <w:rPr>
                <w:rFonts w:asciiTheme="minorHAnsi" w:hAnsiTheme="minorHAnsi"/>
                <w:b/>
              </w:rPr>
            </w:pPr>
            <w:r>
              <w:rPr>
                <w:rFonts w:asciiTheme="minorHAnsi" w:hAnsiTheme="minorHAnsi"/>
                <w:b/>
              </w:rPr>
              <w:t>Pros and Cons</w:t>
            </w:r>
          </w:p>
          <w:p w:rsidR="00C014D6" w:rsidRPr="003C4AC3" w:rsidRDefault="00C014D6" w:rsidP="003C4AC3">
            <w:pPr>
              <w:rPr>
                <w:rFonts w:asciiTheme="minorHAnsi" w:hAnsiTheme="minorHAnsi"/>
              </w:rPr>
            </w:pPr>
            <w:r>
              <w:rPr>
                <w:rFonts w:asciiTheme="minorHAnsi" w:hAnsiTheme="minorHAnsi"/>
              </w:rPr>
              <w:t>Maryland, Virginia, and Pennsylvania explicitly allow cost share to help meet baselines.</w:t>
            </w:r>
          </w:p>
        </w:tc>
      </w:tr>
      <w:tr w:rsidR="00CC4737" w:rsidTr="00141FDB">
        <w:trPr>
          <w:trHeight w:val="169"/>
        </w:trPr>
        <w:tc>
          <w:tcPr>
            <w:tcW w:w="10304" w:type="dxa"/>
            <w:gridSpan w:val="2"/>
          </w:tcPr>
          <w:p w:rsidR="00CC4737" w:rsidRDefault="00CC4737" w:rsidP="0073377B">
            <w:pPr>
              <w:rPr>
                <w:b/>
              </w:rPr>
            </w:pPr>
            <w:r>
              <w:rPr>
                <w:b/>
              </w:rPr>
              <w:t>Option C</w:t>
            </w:r>
          </w:p>
          <w:p w:rsidR="00CC4737" w:rsidRDefault="00CC4737" w:rsidP="0073377B">
            <w:pPr>
              <w:rPr>
                <w:i/>
              </w:rPr>
            </w:pPr>
            <w:r>
              <w:rPr>
                <w:i/>
              </w:rPr>
              <w:t xml:space="preserve">Public cost share dollars </w:t>
            </w:r>
            <w:r w:rsidRPr="0045547F">
              <w:rPr>
                <w:i/>
                <w:u w:val="single"/>
              </w:rPr>
              <w:t xml:space="preserve">cannot </w:t>
            </w:r>
            <w:r>
              <w:rPr>
                <w:i/>
              </w:rPr>
              <w:t>be used to meet baseline requirements.</w:t>
            </w:r>
          </w:p>
          <w:p w:rsidR="00CC4737" w:rsidRPr="00CC4737" w:rsidRDefault="00CC4737" w:rsidP="0073377B">
            <w:pPr>
              <w:rPr>
                <w:i/>
                <w:sz w:val="14"/>
              </w:rPr>
            </w:pPr>
          </w:p>
          <w:p w:rsidR="00CC4737" w:rsidRDefault="00CC4737" w:rsidP="0073377B">
            <w:pPr>
              <w:rPr>
                <w:rFonts w:asciiTheme="minorHAnsi" w:hAnsiTheme="minorHAnsi"/>
              </w:rPr>
            </w:pPr>
            <w:r>
              <w:rPr>
                <w:rFonts w:asciiTheme="minorHAnsi" w:hAnsiTheme="minorHAnsi"/>
                <w:b/>
              </w:rPr>
              <w:t>Pros and Cons</w:t>
            </w:r>
          </w:p>
          <w:p w:rsidR="00CC4737" w:rsidRPr="005F43A2" w:rsidRDefault="00CC4737" w:rsidP="0000233C">
            <w:pPr>
              <w:rPr>
                <w:i/>
                <w:color w:val="FF0000"/>
              </w:rPr>
            </w:pPr>
            <w:r>
              <w:rPr>
                <w:rFonts w:asciiTheme="minorHAnsi" w:hAnsiTheme="minorHAnsi"/>
              </w:rPr>
              <w:t>No states that we know of disallow cost share to meet baseline requirements.</w:t>
            </w:r>
          </w:p>
        </w:tc>
      </w:tr>
    </w:tbl>
    <w:p w:rsidR="00C014D6" w:rsidRPr="006064E4" w:rsidRDefault="00494CBB" w:rsidP="00C014D6">
      <w:pPr>
        <w:pStyle w:val="Default"/>
        <w:spacing w:before="240" w:after="120"/>
        <w:rPr>
          <w:rFonts w:asciiTheme="minorHAnsi" w:hAnsiTheme="minorHAnsi" w:cs="Arial"/>
          <w:bCs/>
          <w:noProof/>
          <w:u w:val="single"/>
        </w:rPr>
      </w:pPr>
      <w:r w:rsidRPr="00F90D11">
        <w:rPr>
          <w:rFonts w:asciiTheme="minorHAnsi" w:hAnsiTheme="minorHAnsi"/>
          <w:b/>
        </w:rPr>
        <w:lastRenderedPageBreak/>
        <w:t xml:space="preserve">II. </w:t>
      </w:r>
      <w:r w:rsidR="00E007CE" w:rsidRPr="0040059B">
        <w:rPr>
          <w:rFonts w:asciiTheme="minorHAnsi" w:hAnsiTheme="minorHAnsi" w:cs="Arial"/>
          <w:b/>
          <w:bCs/>
          <w:noProof/>
        </w:rPr>
        <w:t>Recommended Default</w:t>
      </w:r>
      <w:r w:rsidR="00E007CE" w:rsidRPr="0040059B">
        <w:rPr>
          <w:rFonts w:asciiTheme="minorHAnsi" w:hAnsiTheme="minorHAnsi" w:cs="Arial"/>
          <w:bCs/>
          <w:noProof/>
        </w:rPr>
        <w:t xml:space="preserve">: Option B - </w:t>
      </w:r>
      <w:r w:rsidR="00C014D6" w:rsidRPr="00F90D11">
        <w:rPr>
          <w:rFonts w:ascii="Calibri" w:hAnsi="Calibri"/>
        </w:rPr>
        <w:t>Public cost share dollars can be used by project developers to</w:t>
      </w:r>
      <w:r w:rsidR="00C014D6">
        <w:rPr>
          <w:rFonts w:ascii="Calibri" w:hAnsi="Calibri"/>
        </w:rPr>
        <w:t xml:space="preserve"> help meet baseline requirements (e.g. if a nonpoint source needs to reduce its pollution by 30% to meet baseline, then EQIP funds can cost share for up to 30% of a project’s costs).</w:t>
      </w:r>
    </w:p>
    <w:p w:rsidR="00C014D6" w:rsidRPr="00DF63C5" w:rsidRDefault="00C014D6" w:rsidP="00DF63C5">
      <w:pPr>
        <w:pStyle w:val="Default"/>
        <w:rPr>
          <w:rFonts w:asciiTheme="minorHAnsi" w:hAnsiTheme="minorHAnsi"/>
        </w:rPr>
      </w:pPr>
      <w:r w:rsidRPr="004D4D2A">
        <w:rPr>
          <w:rFonts w:asciiTheme="minorHAnsi" w:hAnsiTheme="minorHAnsi"/>
          <w:b/>
        </w:rPr>
        <w:t xml:space="preserve"> </w:t>
      </w:r>
      <w:r w:rsidR="00DF63C5">
        <w:rPr>
          <w:rFonts w:asciiTheme="minorHAnsi" w:hAnsiTheme="minorHAnsi"/>
          <w:b/>
        </w:rPr>
        <w:t xml:space="preserve">III. </w:t>
      </w:r>
      <w:r w:rsidRPr="004D4D2A">
        <w:rPr>
          <w:rFonts w:asciiTheme="minorHAnsi" w:hAnsiTheme="minorHAnsi"/>
          <w:b/>
        </w:rPr>
        <w:t>Reasons to deviate from the default</w:t>
      </w:r>
      <w:r w:rsidR="00DF63C5">
        <w:rPr>
          <w:rFonts w:asciiTheme="minorHAnsi" w:hAnsiTheme="minorHAnsi"/>
          <w:b/>
        </w:rPr>
        <w:t>:</w:t>
      </w:r>
      <w:r w:rsidR="00DF63C5">
        <w:rPr>
          <w:rFonts w:asciiTheme="minorHAnsi" w:hAnsiTheme="minorHAnsi"/>
        </w:rPr>
        <w:t xml:space="preserve"> We don’t anticipate any reasons to deviate from this. Are we missing anything</w:t>
      </w:r>
      <w:r w:rsidR="00791A17">
        <w:rPr>
          <w:rFonts w:asciiTheme="minorHAnsi" w:hAnsiTheme="minorHAnsi"/>
        </w:rPr>
        <w:t>?</w:t>
      </w:r>
    </w:p>
    <w:p w:rsidR="00C014D6" w:rsidRPr="005C0D83" w:rsidRDefault="00C014D6" w:rsidP="00C014D6">
      <w:pPr>
        <w:pStyle w:val="Default"/>
        <w:rPr>
          <w:rFonts w:asciiTheme="minorHAnsi" w:hAnsiTheme="minorHAnsi"/>
          <w:color w:val="auto"/>
        </w:rPr>
      </w:pPr>
    </w:p>
    <w:p w:rsidR="00C014D6" w:rsidRPr="00744323" w:rsidRDefault="00811E71" w:rsidP="00C014D6">
      <w:pPr>
        <w:pStyle w:val="Heading3"/>
      </w:pPr>
      <w:bookmarkStart w:id="6" w:name="_Toc230884244"/>
      <w:r>
        <w:t>2.3.3</w:t>
      </w:r>
      <w:r w:rsidR="00C014D6" w:rsidRPr="00744323">
        <w:t>. Business as usual</w:t>
      </w:r>
      <w:r w:rsidR="00A870A1">
        <w:t xml:space="preserve"> (</w:t>
      </w:r>
      <w:r w:rsidR="00665A89">
        <w:t xml:space="preserve">at the </w:t>
      </w:r>
      <w:r w:rsidR="00A870A1">
        <w:t>project site)</w:t>
      </w:r>
      <w:bookmarkEnd w:id="6"/>
    </w:p>
    <w:p w:rsidR="00C014D6" w:rsidRPr="00744323" w:rsidRDefault="00F90767" w:rsidP="00C014D6">
      <w:pPr>
        <w:pStyle w:val="Default"/>
        <w:spacing w:before="120" w:after="120"/>
        <w:rPr>
          <w:rFonts w:asciiTheme="minorHAnsi" w:hAnsiTheme="minorHAnsi" w:cs="Arial"/>
          <w:bCs/>
        </w:rPr>
      </w:pPr>
      <w:r>
        <w:rPr>
          <w:rFonts w:asciiTheme="minorHAnsi" w:hAnsiTheme="minorHAnsi" w:cs="Arial"/>
          <w:bCs/>
        </w:rPr>
        <w:t xml:space="preserve">Requirements for additionality </w:t>
      </w:r>
      <w:r w:rsidR="00791A17">
        <w:rPr>
          <w:rFonts w:asciiTheme="minorHAnsi" w:hAnsiTheme="minorHAnsi" w:cs="Arial"/>
          <w:bCs/>
        </w:rPr>
        <w:t>aim to</w:t>
      </w:r>
      <w:r w:rsidR="00C014D6" w:rsidRPr="00744323">
        <w:rPr>
          <w:rFonts w:asciiTheme="minorHAnsi" w:hAnsiTheme="minorHAnsi" w:cs="Arial"/>
          <w:bCs/>
        </w:rPr>
        <w:t xml:space="preserve"> ensure that credits are not produced from activities that would </w:t>
      </w:r>
      <w:r w:rsidR="00791A17">
        <w:rPr>
          <w:rFonts w:asciiTheme="minorHAnsi" w:hAnsiTheme="minorHAnsi" w:cs="Arial"/>
          <w:bCs/>
        </w:rPr>
        <w:t xml:space="preserve">not </w:t>
      </w:r>
      <w:r w:rsidR="00C014D6" w:rsidRPr="00744323">
        <w:rPr>
          <w:rFonts w:asciiTheme="minorHAnsi" w:hAnsiTheme="minorHAnsi" w:cs="Arial"/>
          <w:bCs/>
        </w:rPr>
        <w:t xml:space="preserve">have occurred anyway. </w:t>
      </w:r>
      <w:r w:rsidR="00791A17">
        <w:rPr>
          <w:rFonts w:asciiTheme="minorHAnsi" w:hAnsiTheme="minorHAnsi" w:cs="Arial"/>
          <w:bCs/>
        </w:rPr>
        <w:t>In</w:t>
      </w:r>
      <w:r w:rsidR="00665A89">
        <w:rPr>
          <w:rFonts w:asciiTheme="minorHAnsi" w:hAnsiTheme="minorHAnsi" w:cs="Arial"/>
          <w:bCs/>
        </w:rPr>
        <w:t xml:space="preserve"> addition</w:t>
      </w:r>
      <w:r w:rsidR="00665A89" w:rsidRPr="00744323">
        <w:rPr>
          <w:rFonts w:asciiTheme="minorHAnsi" w:hAnsiTheme="minorHAnsi" w:cs="Arial"/>
          <w:bCs/>
        </w:rPr>
        <w:t xml:space="preserve"> to </w:t>
      </w:r>
      <w:r w:rsidR="00665A89">
        <w:rPr>
          <w:rFonts w:asciiTheme="minorHAnsi" w:hAnsiTheme="minorHAnsi" w:cs="Arial"/>
          <w:bCs/>
        </w:rPr>
        <w:t xml:space="preserve">going </w:t>
      </w:r>
      <w:r w:rsidR="00744323" w:rsidRPr="00744323">
        <w:rPr>
          <w:rFonts w:asciiTheme="minorHAnsi" w:hAnsiTheme="minorHAnsi" w:cs="Arial"/>
          <w:bCs/>
        </w:rPr>
        <w:t>above and beyond what is required by law, regulation</w:t>
      </w:r>
      <w:r w:rsidR="00791A17">
        <w:rPr>
          <w:rFonts w:asciiTheme="minorHAnsi" w:hAnsiTheme="minorHAnsi" w:cs="Arial"/>
          <w:bCs/>
        </w:rPr>
        <w:t>,</w:t>
      </w:r>
      <w:r w:rsidR="00744323" w:rsidRPr="00744323">
        <w:rPr>
          <w:rFonts w:asciiTheme="minorHAnsi" w:hAnsiTheme="minorHAnsi" w:cs="Arial"/>
          <w:bCs/>
        </w:rPr>
        <w:t xml:space="preserve"> or policy, a nonpoint source entity must</w:t>
      </w:r>
      <w:r w:rsidR="00C014D6" w:rsidRPr="00744323">
        <w:rPr>
          <w:rFonts w:asciiTheme="minorHAnsi" w:hAnsiTheme="minorHAnsi" w:cs="Arial"/>
          <w:bCs/>
        </w:rPr>
        <w:t xml:space="preserve"> </w:t>
      </w:r>
      <w:r w:rsidR="00744323" w:rsidRPr="00744323">
        <w:rPr>
          <w:rFonts w:asciiTheme="minorHAnsi" w:hAnsiTheme="minorHAnsi" w:cs="Arial"/>
          <w:bCs/>
        </w:rPr>
        <w:t xml:space="preserve">install practices that go beyond </w:t>
      </w:r>
      <w:r w:rsidR="00C014D6" w:rsidRPr="00744323">
        <w:rPr>
          <w:rFonts w:asciiTheme="minorHAnsi" w:hAnsiTheme="minorHAnsi" w:cs="Arial"/>
          <w:bCs/>
        </w:rPr>
        <w:t xml:space="preserve">business as usual </w:t>
      </w:r>
      <w:r w:rsidR="00744323" w:rsidRPr="00744323">
        <w:rPr>
          <w:rFonts w:asciiTheme="minorHAnsi" w:hAnsiTheme="minorHAnsi" w:cs="Arial"/>
          <w:bCs/>
        </w:rPr>
        <w:t>within the</w:t>
      </w:r>
      <w:r w:rsidR="00C014D6" w:rsidRPr="00744323">
        <w:rPr>
          <w:rFonts w:asciiTheme="minorHAnsi" w:hAnsiTheme="minorHAnsi" w:cs="Arial"/>
          <w:bCs/>
        </w:rPr>
        <w:t xml:space="preserve"> industry</w:t>
      </w:r>
      <w:r w:rsidR="00744323" w:rsidRPr="00744323">
        <w:rPr>
          <w:rFonts w:asciiTheme="minorHAnsi" w:hAnsiTheme="minorHAnsi" w:cs="Arial"/>
          <w:bCs/>
        </w:rPr>
        <w:t>.</w:t>
      </w:r>
      <w:r w:rsidR="00C014D6" w:rsidRPr="00744323">
        <w:rPr>
          <w:rFonts w:asciiTheme="minorHAnsi" w:hAnsiTheme="minorHAnsi" w:cs="Arial"/>
          <w:bCs/>
        </w:rPr>
        <w:t xml:space="preserve"> </w:t>
      </w:r>
      <w:r w:rsidR="00744323" w:rsidRPr="00744323">
        <w:rPr>
          <w:rFonts w:asciiTheme="minorHAnsi" w:hAnsiTheme="minorHAnsi" w:cs="Arial"/>
          <w:bCs/>
        </w:rPr>
        <w:t>For example, c</w:t>
      </w:r>
      <w:r w:rsidR="00C014D6" w:rsidRPr="00744323">
        <w:rPr>
          <w:rFonts w:asciiTheme="minorHAnsi" w:hAnsiTheme="minorHAnsi" w:cs="Arial"/>
          <w:bCs/>
        </w:rPr>
        <w:t xml:space="preserve">arbon markets have developed specific requirements for business as usual because much of the credit-generating activity </w:t>
      </w:r>
      <w:r w:rsidR="00744323" w:rsidRPr="00744323">
        <w:rPr>
          <w:rFonts w:asciiTheme="minorHAnsi" w:hAnsiTheme="minorHAnsi" w:cs="Arial"/>
          <w:bCs/>
        </w:rPr>
        <w:t>is</w:t>
      </w:r>
      <w:r w:rsidR="00C014D6" w:rsidRPr="00744323">
        <w:rPr>
          <w:rFonts w:asciiTheme="minorHAnsi" w:hAnsiTheme="minorHAnsi" w:cs="Arial"/>
          <w:bCs/>
        </w:rPr>
        <w:t xml:space="preserve"> voluntary</w:t>
      </w:r>
      <w:r w:rsidR="00665A89" w:rsidRPr="00665A89">
        <w:rPr>
          <w:rFonts w:asciiTheme="minorHAnsi" w:hAnsiTheme="minorHAnsi" w:cs="Arial"/>
          <w:bCs/>
        </w:rPr>
        <w:t xml:space="preserve"> </w:t>
      </w:r>
      <w:r w:rsidR="00665A89">
        <w:rPr>
          <w:rFonts w:asciiTheme="minorHAnsi" w:hAnsiTheme="minorHAnsi" w:cs="Arial"/>
          <w:bCs/>
        </w:rPr>
        <w:t>and not subject to explicit regulatory requirements</w:t>
      </w:r>
      <w:r w:rsidR="00C014D6" w:rsidRPr="00744323">
        <w:rPr>
          <w:rFonts w:asciiTheme="minorHAnsi" w:hAnsiTheme="minorHAnsi" w:cs="Arial"/>
          <w:bCs/>
        </w:rPr>
        <w:t xml:space="preserve">. </w:t>
      </w:r>
      <w:r w:rsidR="00791A17">
        <w:rPr>
          <w:rFonts w:asciiTheme="minorHAnsi" w:hAnsiTheme="minorHAnsi" w:cs="Arial"/>
          <w:bCs/>
        </w:rPr>
        <w:t>I</w:t>
      </w:r>
      <w:r w:rsidR="00744323" w:rsidRPr="00744323">
        <w:rPr>
          <w:rFonts w:asciiTheme="minorHAnsi" w:hAnsiTheme="minorHAnsi" w:cs="Arial"/>
          <w:bCs/>
        </w:rPr>
        <w:t>n the water quality trading</w:t>
      </w:r>
      <w:r w:rsidR="00791A17">
        <w:rPr>
          <w:rFonts w:asciiTheme="minorHAnsi" w:hAnsiTheme="minorHAnsi" w:cs="Arial"/>
          <w:bCs/>
        </w:rPr>
        <w:t>, the question of whether an action is part of business as usual may arise if</w:t>
      </w:r>
      <w:r w:rsidR="00744323" w:rsidRPr="00744323">
        <w:rPr>
          <w:rFonts w:asciiTheme="minorHAnsi" w:hAnsiTheme="minorHAnsi" w:cs="Arial"/>
          <w:bCs/>
        </w:rPr>
        <w:t xml:space="preserve"> </w:t>
      </w:r>
      <w:r w:rsidR="00C014D6" w:rsidRPr="00744323">
        <w:rPr>
          <w:rFonts w:asciiTheme="minorHAnsi" w:hAnsiTheme="minorHAnsi" w:cs="Arial"/>
          <w:bCs/>
        </w:rPr>
        <w:t xml:space="preserve">the credit generating project </w:t>
      </w:r>
      <w:r w:rsidR="00744323" w:rsidRPr="00744323">
        <w:rPr>
          <w:rFonts w:asciiTheme="minorHAnsi" w:hAnsiTheme="minorHAnsi" w:cs="Arial"/>
          <w:bCs/>
        </w:rPr>
        <w:t xml:space="preserve">will provide </w:t>
      </w:r>
      <w:r w:rsidR="00C014D6" w:rsidRPr="00744323">
        <w:rPr>
          <w:rFonts w:asciiTheme="minorHAnsi" w:hAnsiTheme="minorHAnsi" w:cs="Arial"/>
          <w:bCs/>
        </w:rPr>
        <w:t>a significant financial or other gain to a farmer’s operation</w:t>
      </w:r>
      <w:r w:rsidR="00744323" w:rsidRPr="00744323">
        <w:rPr>
          <w:rFonts w:asciiTheme="minorHAnsi" w:hAnsiTheme="minorHAnsi" w:cs="Arial"/>
          <w:bCs/>
        </w:rPr>
        <w:t>. In this scenario, the project developer will need to demonstrate</w:t>
      </w:r>
      <w:r w:rsidR="00C014D6" w:rsidRPr="00744323">
        <w:rPr>
          <w:rFonts w:asciiTheme="minorHAnsi" w:hAnsiTheme="minorHAnsi" w:cs="Arial"/>
          <w:bCs/>
        </w:rPr>
        <w:t xml:space="preserve"> why credits </w:t>
      </w:r>
      <w:r w:rsidR="00744323" w:rsidRPr="00744323">
        <w:rPr>
          <w:rFonts w:asciiTheme="minorHAnsi" w:hAnsiTheme="minorHAnsi" w:cs="Arial"/>
          <w:bCs/>
        </w:rPr>
        <w:t xml:space="preserve">are </w:t>
      </w:r>
      <w:r w:rsidR="00C014D6" w:rsidRPr="00744323">
        <w:rPr>
          <w:rFonts w:asciiTheme="minorHAnsi" w:hAnsiTheme="minorHAnsi" w:cs="Arial"/>
          <w:bCs/>
        </w:rPr>
        <w:t>needed to finance that work</w:t>
      </w:r>
      <w:r w:rsidR="00744323" w:rsidRPr="00744323">
        <w:rPr>
          <w:rFonts w:asciiTheme="minorHAnsi" w:hAnsiTheme="minorHAnsi" w:cs="Arial"/>
          <w:bCs/>
        </w:rPr>
        <w:t>.</w:t>
      </w:r>
      <w:r w:rsidR="00C014D6" w:rsidRPr="00744323">
        <w:rPr>
          <w:rFonts w:asciiTheme="minorHAnsi" w:hAnsiTheme="minorHAnsi" w:cs="Arial"/>
          <w:bCs/>
        </w:rPr>
        <w:t xml:space="preserve"> Defining business as usual can be challenging, especially as new sets of BMPs begin</w:t>
      </w:r>
      <w:r w:rsidR="00744323" w:rsidRPr="00744323">
        <w:rPr>
          <w:rFonts w:asciiTheme="minorHAnsi" w:hAnsiTheme="minorHAnsi" w:cs="Arial"/>
          <w:bCs/>
        </w:rPr>
        <w:t xml:space="preserve"> to be</w:t>
      </w:r>
      <w:r w:rsidR="00C014D6" w:rsidRPr="00744323">
        <w:rPr>
          <w:rFonts w:asciiTheme="minorHAnsi" w:hAnsiTheme="minorHAnsi" w:cs="Arial"/>
          <w:bCs/>
        </w:rPr>
        <w:t xml:space="preserve"> implement</w:t>
      </w:r>
      <w:r w:rsidR="00744323" w:rsidRPr="00744323">
        <w:rPr>
          <w:rFonts w:asciiTheme="minorHAnsi" w:hAnsiTheme="minorHAnsi" w:cs="Arial"/>
          <w:bCs/>
        </w:rPr>
        <w:t>ed</w:t>
      </w:r>
      <w:r w:rsidR="00C014D6" w:rsidRPr="00744323">
        <w:rPr>
          <w:rFonts w:asciiTheme="minorHAnsi" w:hAnsiTheme="minorHAnsi" w:cs="Arial"/>
          <w:bCs/>
        </w:rPr>
        <w:t>.</w:t>
      </w:r>
    </w:p>
    <w:p w:rsidR="00C014D6" w:rsidRPr="00494CBB" w:rsidRDefault="00494CBB" w:rsidP="00494CBB">
      <w:pPr>
        <w:pStyle w:val="Default"/>
        <w:spacing w:before="240" w:after="120"/>
        <w:rPr>
          <w:rFonts w:asciiTheme="minorHAnsi" w:hAnsiTheme="minorHAnsi" w:cs="Arial"/>
          <w:b/>
          <w:bCs/>
        </w:rPr>
      </w:pPr>
      <w:r w:rsidRPr="00E441D9">
        <w:rPr>
          <w:rFonts w:asciiTheme="minorHAnsi" w:hAnsiTheme="minorHAnsi" w:cs="Arial"/>
          <w:b/>
          <w:bCs/>
        </w:rPr>
        <w:t xml:space="preserve">I. </w:t>
      </w:r>
      <w:r>
        <w:rPr>
          <w:rFonts w:asciiTheme="minorHAnsi" w:hAnsiTheme="minorHAnsi" w:cs="Arial"/>
          <w:b/>
          <w:bCs/>
        </w:rPr>
        <w:t>Options and e</w:t>
      </w:r>
      <w:r w:rsidRPr="00E441D9">
        <w:rPr>
          <w:rFonts w:asciiTheme="minorHAnsi" w:hAnsiTheme="minorHAnsi" w:cs="Arial"/>
          <w:b/>
          <w:bCs/>
        </w:rPr>
        <w:t>xamples</w:t>
      </w:r>
    </w:p>
    <w:tbl>
      <w:tblPr>
        <w:tblStyle w:val="TableGrid"/>
        <w:tblW w:w="0" w:type="auto"/>
        <w:tblLook w:val="04A0" w:firstRow="1" w:lastRow="0" w:firstColumn="1" w:lastColumn="0" w:noHBand="0" w:noVBand="1"/>
      </w:tblPr>
      <w:tblGrid>
        <w:gridCol w:w="5076"/>
        <w:gridCol w:w="5076"/>
      </w:tblGrid>
      <w:tr w:rsidR="00C014D6" w:rsidRPr="009325AA">
        <w:tc>
          <w:tcPr>
            <w:tcW w:w="5076" w:type="dxa"/>
          </w:tcPr>
          <w:p w:rsidR="00C014D6" w:rsidRPr="00A870A1" w:rsidRDefault="00C014D6" w:rsidP="0073377B">
            <w:pPr>
              <w:rPr>
                <w:b/>
              </w:rPr>
            </w:pPr>
            <w:r w:rsidRPr="00A870A1">
              <w:rPr>
                <w:b/>
              </w:rPr>
              <w:t>Option A</w:t>
            </w:r>
          </w:p>
          <w:p w:rsidR="00C01CBD" w:rsidRPr="00A870A1" w:rsidRDefault="00A870A1" w:rsidP="0073377B">
            <w:pPr>
              <w:rPr>
                <w:i/>
                <w:color w:val="FF0000"/>
              </w:rPr>
            </w:pPr>
            <w:r w:rsidRPr="00A870A1">
              <w:rPr>
                <w:i/>
              </w:rPr>
              <w:t xml:space="preserve">Additionality beyond business as usual is determined </w:t>
            </w:r>
            <w:r w:rsidR="00C014D6" w:rsidRPr="00A870A1">
              <w:rPr>
                <w:i/>
              </w:rPr>
              <w:t xml:space="preserve">based on </w:t>
            </w:r>
            <w:r w:rsidR="00C014D6" w:rsidRPr="00A870A1">
              <w:rPr>
                <w:i/>
                <w:u w:val="single"/>
              </w:rPr>
              <w:t>statements provided by the project developer</w:t>
            </w:r>
            <w:r w:rsidR="002D3101">
              <w:rPr>
                <w:i/>
              </w:rPr>
              <w:t>.</w:t>
            </w:r>
          </w:p>
          <w:p w:rsidR="00C014D6" w:rsidRPr="009325AA" w:rsidRDefault="00C014D6" w:rsidP="0073377B">
            <w:pPr>
              <w:rPr>
                <w:rFonts w:asciiTheme="minorHAnsi" w:hAnsiTheme="minorHAnsi"/>
                <w:i/>
                <w:highlight w:val="yellow"/>
              </w:rPr>
            </w:pPr>
          </w:p>
          <w:p w:rsidR="00C014D6" w:rsidRPr="00A870A1" w:rsidRDefault="00C014D6" w:rsidP="0073377B">
            <w:pPr>
              <w:rPr>
                <w:rFonts w:asciiTheme="minorHAnsi" w:hAnsiTheme="minorHAnsi"/>
                <w:b/>
              </w:rPr>
            </w:pPr>
            <w:r w:rsidRPr="00A870A1">
              <w:rPr>
                <w:rFonts w:asciiTheme="minorHAnsi" w:hAnsiTheme="minorHAnsi"/>
                <w:b/>
              </w:rPr>
              <w:t>Pros and Cons</w:t>
            </w:r>
          </w:p>
          <w:p w:rsidR="00C014D6" w:rsidRPr="009325AA" w:rsidRDefault="00744323" w:rsidP="006D6D9B">
            <w:pPr>
              <w:rPr>
                <w:rFonts w:asciiTheme="minorHAnsi" w:hAnsiTheme="minorHAnsi" w:cs="Arial"/>
                <w:bCs/>
                <w:highlight w:val="yellow"/>
                <w:u w:val="single"/>
              </w:rPr>
            </w:pPr>
            <w:r w:rsidRPr="00A870A1">
              <w:rPr>
                <w:rFonts w:asciiTheme="minorHAnsi" w:hAnsiTheme="minorHAnsi" w:cs="Arial"/>
                <w:bCs/>
              </w:rPr>
              <w:t xml:space="preserve">WP has followed this approach, asking project developers to make a narrative case for why the project is above and beyond business as usual for </w:t>
            </w:r>
            <w:r w:rsidR="00F20008" w:rsidRPr="00A870A1">
              <w:rPr>
                <w:rFonts w:asciiTheme="minorHAnsi" w:hAnsiTheme="minorHAnsi" w:cs="Arial"/>
                <w:bCs/>
              </w:rPr>
              <w:t>them.</w:t>
            </w:r>
            <w:r w:rsidR="00F20008">
              <w:rPr>
                <w:rFonts w:asciiTheme="minorHAnsi" w:hAnsiTheme="minorHAnsi"/>
              </w:rPr>
              <w:t xml:space="preserve"> This</w:t>
            </w:r>
            <w:r w:rsidR="006D6D9B">
              <w:rPr>
                <w:rFonts w:asciiTheme="minorHAnsi" w:hAnsiTheme="minorHAnsi"/>
              </w:rPr>
              <w:t xml:space="preserve"> approach still provides a standard for business as usual, while giving the benefit of the doubt to project developers to define what that is</w:t>
            </w:r>
            <w:r w:rsidR="006D6D9B" w:rsidRPr="00A870A1">
              <w:rPr>
                <w:rFonts w:asciiTheme="minorHAnsi" w:hAnsiTheme="minorHAnsi" w:cs="Arial"/>
                <w:bCs/>
              </w:rPr>
              <w:t xml:space="preserve"> </w:t>
            </w:r>
          </w:p>
        </w:tc>
        <w:tc>
          <w:tcPr>
            <w:tcW w:w="5076" w:type="dxa"/>
          </w:tcPr>
          <w:p w:rsidR="00C014D6" w:rsidRPr="00A870A1" w:rsidRDefault="00C014D6" w:rsidP="0073377B">
            <w:pPr>
              <w:rPr>
                <w:b/>
              </w:rPr>
            </w:pPr>
            <w:r w:rsidRPr="00A870A1">
              <w:rPr>
                <w:b/>
              </w:rPr>
              <w:t>Option B</w:t>
            </w:r>
          </w:p>
          <w:p w:rsidR="00C014D6" w:rsidRPr="00A870A1" w:rsidRDefault="00A870A1" w:rsidP="0073377B">
            <w:pPr>
              <w:rPr>
                <w:i/>
                <w:color w:val="FF0000"/>
              </w:rPr>
            </w:pPr>
            <w:r w:rsidRPr="00A870A1">
              <w:rPr>
                <w:i/>
              </w:rPr>
              <w:t xml:space="preserve">Additionality beyond business as usual is determined </w:t>
            </w:r>
            <w:r w:rsidR="00C014D6" w:rsidRPr="00A870A1">
              <w:rPr>
                <w:i/>
                <w:u w:val="single"/>
              </w:rPr>
              <w:t xml:space="preserve">based on criteria that can be confirmed </w:t>
            </w:r>
            <w:r w:rsidR="00C014D6" w:rsidRPr="00A870A1">
              <w:rPr>
                <w:i/>
              </w:rPr>
              <w:t>by an agency, permittee, or third party verifier.</w:t>
            </w:r>
          </w:p>
          <w:p w:rsidR="00C014D6" w:rsidRPr="009325AA" w:rsidRDefault="00C014D6" w:rsidP="0073377B">
            <w:pPr>
              <w:rPr>
                <w:rFonts w:asciiTheme="minorHAnsi" w:hAnsiTheme="minorHAnsi"/>
                <w:i/>
                <w:highlight w:val="yellow"/>
              </w:rPr>
            </w:pPr>
          </w:p>
          <w:p w:rsidR="00C014D6" w:rsidRPr="00A870A1" w:rsidRDefault="00C014D6" w:rsidP="0073377B">
            <w:pPr>
              <w:rPr>
                <w:rFonts w:asciiTheme="minorHAnsi" w:hAnsiTheme="minorHAnsi"/>
                <w:b/>
              </w:rPr>
            </w:pPr>
            <w:r w:rsidRPr="00A870A1">
              <w:rPr>
                <w:rFonts w:asciiTheme="minorHAnsi" w:hAnsiTheme="minorHAnsi"/>
                <w:b/>
              </w:rPr>
              <w:t>Pros and Cons</w:t>
            </w:r>
          </w:p>
          <w:p w:rsidR="00C014D6" w:rsidRPr="009325AA" w:rsidRDefault="00C014D6" w:rsidP="0073377B">
            <w:pPr>
              <w:rPr>
                <w:rFonts w:asciiTheme="minorHAnsi" w:hAnsiTheme="minorHAnsi"/>
                <w:highlight w:val="yellow"/>
              </w:rPr>
            </w:pPr>
            <w:r w:rsidRPr="00A870A1">
              <w:rPr>
                <w:rFonts w:asciiTheme="minorHAnsi" w:hAnsiTheme="minorHAnsi"/>
              </w:rPr>
              <w:t>This approach necessitates specific criteria and confirmation of information provided by the project developer.</w:t>
            </w:r>
            <w:r w:rsidR="00A870A1" w:rsidRPr="00A870A1">
              <w:rPr>
                <w:rFonts w:asciiTheme="minorHAnsi" w:hAnsiTheme="minorHAnsi"/>
              </w:rPr>
              <w:t xml:space="preserve"> </w:t>
            </w:r>
            <w:r w:rsidR="00665A89" w:rsidRPr="00A870A1">
              <w:rPr>
                <w:rFonts w:asciiTheme="minorHAnsi" w:hAnsiTheme="minorHAnsi"/>
              </w:rPr>
              <w:t>It does allow for more standardized determinations based on a particular industry</w:t>
            </w:r>
            <w:r w:rsidR="00665A89">
              <w:rPr>
                <w:rFonts w:asciiTheme="minorHAnsi" w:hAnsiTheme="minorHAnsi"/>
              </w:rPr>
              <w:t>, but may introduce unnecessary costs or review when much of additionality is covered by regulatory requirements.</w:t>
            </w:r>
          </w:p>
        </w:tc>
      </w:tr>
    </w:tbl>
    <w:p w:rsidR="00C014D6" w:rsidRPr="009325AA" w:rsidRDefault="00C014D6" w:rsidP="00C014D6">
      <w:pPr>
        <w:pStyle w:val="Default"/>
        <w:rPr>
          <w:rFonts w:asciiTheme="minorHAnsi" w:hAnsiTheme="minorHAnsi"/>
          <w:highlight w:val="yellow"/>
        </w:rPr>
      </w:pPr>
    </w:p>
    <w:p w:rsidR="000D0A2B" w:rsidRDefault="00F20008">
      <w:pPr>
        <w:pStyle w:val="Default"/>
        <w:rPr>
          <w:rFonts w:ascii="Calibri" w:hAnsi="Calibri"/>
        </w:rPr>
      </w:pPr>
      <w:r>
        <w:rPr>
          <w:rFonts w:asciiTheme="minorHAnsi" w:hAnsiTheme="minorHAnsi"/>
          <w:b/>
        </w:rPr>
        <w:t xml:space="preserve">II. </w:t>
      </w:r>
      <w:r w:rsidRPr="00494CBB">
        <w:rPr>
          <w:rFonts w:asciiTheme="minorHAnsi" w:hAnsiTheme="minorHAnsi"/>
          <w:b/>
        </w:rPr>
        <w:t>Recommended default</w:t>
      </w:r>
      <w:r>
        <w:rPr>
          <w:rFonts w:ascii="Calibri" w:hAnsi="Calibri"/>
          <w:b/>
        </w:rPr>
        <w:t xml:space="preserve">: </w:t>
      </w:r>
      <w:r w:rsidRPr="00A870A1">
        <w:rPr>
          <w:rFonts w:ascii="Calibri" w:hAnsi="Calibri"/>
        </w:rPr>
        <w:t>Option A</w:t>
      </w:r>
      <w:r>
        <w:rPr>
          <w:rFonts w:ascii="Calibri" w:hAnsi="Calibri"/>
        </w:rPr>
        <w:t xml:space="preserve"> In water quality trading, regulatory requirements cover many of the concerns over additionality. </w:t>
      </w:r>
      <w:r w:rsidR="00665A89">
        <w:rPr>
          <w:rFonts w:ascii="Calibri" w:hAnsi="Calibri"/>
        </w:rPr>
        <w:t xml:space="preserve">Defining additionality beyond business as usual has proven a significant transaction cost and hurdle in carbon markets. It can be very difficult to define and verify. </w:t>
      </w:r>
    </w:p>
    <w:p w:rsidR="00C014D6" w:rsidRPr="00A870A1" w:rsidRDefault="00C014D6" w:rsidP="00C014D6">
      <w:pPr>
        <w:pStyle w:val="Default"/>
        <w:rPr>
          <w:rFonts w:asciiTheme="minorHAnsi" w:hAnsiTheme="minorHAnsi"/>
        </w:rPr>
      </w:pPr>
    </w:p>
    <w:p w:rsidR="00665A89" w:rsidRPr="0030344F" w:rsidRDefault="00494CBB" w:rsidP="00665A89">
      <w:pPr>
        <w:pStyle w:val="Default"/>
        <w:rPr>
          <w:rFonts w:asciiTheme="minorHAnsi" w:hAnsiTheme="minorHAnsi"/>
        </w:rPr>
      </w:pPr>
      <w:r>
        <w:rPr>
          <w:rFonts w:asciiTheme="minorHAnsi" w:hAnsiTheme="minorHAnsi"/>
          <w:b/>
        </w:rPr>
        <w:t xml:space="preserve">III. </w:t>
      </w:r>
      <w:r w:rsidR="00B679E1" w:rsidRPr="00494CBB">
        <w:rPr>
          <w:rFonts w:asciiTheme="minorHAnsi" w:hAnsiTheme="minorHAnsi"/>
          <w:b/>
        </w:rPr>
        <w:t>Reasons to deviate from the default</w:t>
      </w:r>
      <w:r w:rsidR="00A870A1">
        <w:rPr>
          <w:rFonts w:asciiTheme="minorHAnsi" w:hAnsiTheme="minorHAnsi"/>
          <w:b/>
        </w:rPr>
        <w:t xml:space="preserve">: </w:t>
      </w:r>
      <w:r w:rsidR="00665A89">
        <w:rPr>
          <w:rFonts w:asciiTheme="minorHAnsi" w:hAnsiTheme="minorHAnsi"/>
        </w:rPr>
        <w:t xml:space="preserve">In some cases, Option B may provide more certainty that credits are truly additional, and this may be worth the transaction </w:t>
      </w:r>
      <w:r w:rsidR="00F20008">
        <w:rPr>
          <w:rFonts w:asciiTheme="minorHAnsi" w:hAnsiTheme="minorHAnsi"/>
        </w:rPr>
        <w:t>cost</w:t>
      </w:r>
      <w:r w:rsidR="00665A89">
        <w:rPr>
          <w:rFonts w:asciiTheme="minorHAnsi" w:hAnsiTheme="minorHAnsi"/>
        </w:rPr>
        <w:t xml:space="preserve"> in some cases</w:t>
      </w:r>
      <w:r w:rsidR="00665A89" w:rsidRPr="00A870A1">
        <w:rPr>
          <w:rFonts w:asciiTheme="minorHAnsi" w:hAnsiTheme="minorHAnsi"/>
        </w:rPr>
        <w:t>.</w:t>
      </w:r>
    </w:p>
    <w:p w:rsidR="00DF1D79" w:rsidRDefault="00DF1D79" w:rsidP="00DF1D79">
      <w:pPr>
        <w:pStyle w:val="Default"/>
        <w:spacing w:before="120" w:after="120"/>
        <w:rPr>
          <w:rFonts w:asciiTheme="minorHAnsi" w:hAnsiTheme="minorHAnsi" w:cs="Arial"/>
          <w:bCs/>
          <w:i/>
          <w:u w:val="single"/>
        </w:rPr>
      </w:pPr>
    </w:p>
    <w:p w:rsidR="00541476" w:rsidRPr="00541476" w:rsidRDefault="00811E71" w:rsidP="00DD7EC7">
      <w:pPr>
        <w:pStyle w:val="Heading3"/>
      </w:pPr>
      <w:bookmarkStart w:id="7" w:name="_Toc230884245"/>
      <w:r>
        <w:t>2.3.4</w:t>
      </w:r>
      <w:r w:rsidR="00541476" w:rsidRPr="00541476">
        <w:t xml:space="preserve">. </w:t>
      </w:r>
      <w:r w:rsidR="00996C39">
        <w:t xml:space="preserve">Reasonable </w:t>
      </w:r>
      <w:r w:rsidR="00BB763F">
        <w:t>a</w:t>
      </w:r>
      <w:r w:rsidR="00996C39">
        <w:t>ssurances</w:t>
      </w:r>
      <w:bookmarkEnd w:id="7"/>
    </w:p>
    <w:p w:rsidR="007410D4" w:rsidRDefault="0068477C" w:rsidP="00541476">
      <w:pPr>
        <w:pStyle w:val="Default"/>
        <w:spacing w:before="120" w:after="120"/>
        <w:rPr>
          <w:rFonts w:asciiTheme="minorHAnsi" w:hAnsiTheme="minorHAnsi" w:cs="Arial"/>
          <w:bCs/>
        </w:rPr>
      </w:pPr>
      <w:r>
        <w:rPr>
          <w:rFonts w:asciiTheme="minorHAnsi" w:hAnsiTheme="minorHAnsi" w:cs="Arial"/>
          <w:bCs/>
        </w:rPr>
        <w:t xml:space="preserve">When a </w:t>
      </w:r>
      <w:r w:rsidR="0073377B">
        <w:rPr>
          <w:rFonts w:asciiTheme="minorHAnsi" w:hAnsiTheme="minorHAnsi" w:cs="Arial"/>
          <w:bCs/>
        </w:rPr>
        <w:t>WLA</w:t>
      </w:r>
      <w:r>
        <w:rPr>
          <w:rFonts w:asciiTheme="minorHAnsi" w:hAnsiTheme="minorHAnsi" w:cs="Arial"/>
          <w:bCs/>
        </w:rPr>
        <w:t xml:space="preserve"> is derived from a nonpoint source </w:t>
      </w:r>
      <w:r w:rsidR="00B52057">
        <w:rPr>
          <w:rFonts w:asciiTheme="minorHAnsi" w:hAnsiTheme="minorHAnsi" w:cs="Arial"/>
          <w:bCs/>
        </w:rPr>
        <w:t>LA</w:t>
      </w:r>
      <w:r>
        <w:rPr>
          <w:rFonts w:asciiTheme="minorHAnsi" w:hAnsiTheme="minorHAnsi" w:cs="Arial"/>
          <w:bCs/>
        </w:rPr>
        <w:t xml:space="preserve">, EPA requires a TMDL to describe the reasonable assurances </w:t>
      </w:r>
      <w:r w:rsidR="00B52057">
        <w:rPr>
          <w:rFonts w:asciiTheme="minorHAnsi" w:hAnsiTheme="minorHAnsi" w:cs="Arial"/>
          <w:bCs/>
        </w:rPr>
        <w:t>that will allow for achievement of the</w:t>
      </w:r>
      <w:r>
        <w:rPr>
          <w:rFonts w:asciiTheme="minorHAnsi" w:hAnsiTheme="minorHAnsi" w:cs="Arial"/>
          <w:bCs/>
        </w:rPr>
        <w:t xml:space="preserve"> </w:t>
      </w:r>
      <w:r w:rsidR="00B52057">
        <w:rPr>
          <w:rFonts w:asciiTheme="minorHAnsi" w:hAnsiTheme="minorHAnsi" w:cs="Arial"/>
          <w:bCs/>
        </w:rPr>
        <w:t>LAs</w:t>
      </w:r>
      <w:r>
        <w:rPr>
          <w:rFonts w:asciiTheme="minorHAnsi" w:hAnsiTheme="minorHAnsi" w:cs="Arial"/>
          <w:bCs/>
        </w:rPr>
        <w:t xml:space="preserve">. Reasonable assurances </w:t>
      </w:r>
      <w:r w:rsidR="00926944">
        <w:rPr>
          <w:rFonts w:asciiTheme="minorHAnsi" w:hAnsiTheme="minorHAnsi" w:cs="Arial"/>
          <w:bCs/>
        </w:rPr>
        <w:t>in TMDLs are often described in terms unique to a local watershed</w:t>
      </w:r>
      <w:r w:rsidR="00352F7D">
        <w:rPr>
          <w:rFonts w:asciiTheme="minorHAnsi" w:hAnsiTheme="minorHAnsi" w:cs="Arial"/>
          <w:bCs/>
        </w:rPr>
        <w:t>,</w:t>
      </w:r>
      <w:r w:rsidR="00926944">
        <w:rPr>
          <w:rFonts w:asciiTheme="minorHAnsi" w:hAnsiTheme="minorHAnsi" w:cs="Arial"/>
          <w:bCs/>
        </w:rPr>
        <w:t xml:space="preserve"> includ</w:t>
      </w:r>
      <w:r w:rsidR="00352F7D">
        <w:rPr>
          <w:rFonts w:asciiTheme="minorHAnsi" w:hAnsiTheme="minorHAnsi" w:cs="Arial"/>
          <w:bCs/>
        </w:rPr>
        <w:t>ing</w:t>
      </w:r>
      <w:r w:rsidR="00926944">
        <w:rPr>
          <w:rFonts w:asciiTheme="minorHAnsi" w:hAnsiTheme="minorHAnsi" w:cs="Arial"/>
          <w:bCs/>
        </w:rPr>
        <w:t xml:space="preserve"> descriptions of </w:t>
      </w:r>
      <w:r w:rsidR="00B52057">
        <w:rPr>
          <w:rFonts w:asciiTheme="minorHAnsi" w:hAnsiTheme="minorHAnsi" w:cs="Arial"/>
          <w:bCs/>
        </w:rPr>
        <w:t xml:space="preserve">federal, </w:t>
      </w:r>
      <w:r w:rsidR="00F20008">
        <w:rPr>
          <w:rFonts w:asciiTheme="minorHAnsi" w:hAnsiTheme="minorHAnsi" w:cs="Arial"/>
          <w:bCs/>
        </w:rPr>
        <w:t>state, and</w:t>
      </w:r>
      <w:r w:rsidR="00B52057">
        <w:rPr>
          <w:rFonts w:asciiTheme="minorHAnsi" w:hAnsiTheme="minorHAnsi" w:cs="Arial"/>
          <w:bCs/>
        </w:rPr>
        <w:t xml:space="preserve"> local</w:t>
      </w:r>
      <w:r w:rsidR="00926944">
        <w:rPr>
          <w:rFonts w:asciiTheme="minorHAnsi" w:hAnsiTheme="minorHAnsi" w:cs="Arial"/>
          <w:bCs/>
        </w:rPr>
        <w:t xml:space="preserve"> </w:t>
      </w:r>
      <w:r w:rsidR="00926944">
        <w:rPr>
          <w:rFonts w:asciiTheme="minorHAnsi" w:hAnsiTheme="minorHAnsi" w:cs="Arial"/>
          <w:bCs/>
        </w:rPr>
        <w:lastRenderedPageBreak/>
        <w:t>regulatory authorities</w:t>
      </w:r>
      <w:r w:rsidR="00352F7D">
        <w:rPr>
          <w:rFonts w:asciiTheme="minorHAnsi" w:hAnsiTheme="minorHAnsi" w:cs="Arial"/>
          <w:bCs/>
        </w:rPr>
        <w:t xml:space="preserve"> and available </w:t>
      </w:r>
      <w:r w:rsidR="00926944">
        <w:rPr>
          <w:rFonts w:asciiTheme="minorHAnsi" w:hAnsiTheme="minorHAnsi" w:cs="Arial"/>
          <w:bCs/>
        </w:rPr>
        <w:t>funding sources</w:t>
      </w:r>
      <w:r w:rsidR="00352F7D">
        <w:rPr>
          <w:rFonts w:asciiTheme="minorHAnsi" w:hAnsiTheme="minorHAnsi" w:cs="Arial"/>
          <w:bCs/>
        </w:rPr>
        <w:t>. In some cases, demonstration of reasonable assurances is</w:t>
      </w:r>
      <w:r w:rsidR="00926944">
        <w:rPr>
          <w:rFonts w:asciiTheme="minorHAnsi" w:hAnsiTheme="minorHAnsi" w:cs="Arial"/>
          <w:bCs/>
        </w:rPr>
        <w:t xml:space="preserve"> not applicable because </w:t>
      </w:r>
      <w:r w:rsidR="00352F7D">
        <w:rPr>
          <w:rFonts w:asciiTheme="minorHAnsi" w:hAnsiTheme="minorHAnsi" w:cs="Arial"/>
          <w:bCs/>
        </w:rPr>
        <w:t xml:space="preserve">there are no point sources in the watershed, or because </w:t>
      </w:r>
      <w:r w:rsidR="00B52057">
        <w:rPr>
          <w:rFonts w:asciiTheme="minorHAnsi" w:hAnsiTheme="minorHAnsi" w:cs="Arial"/>
          <w:bCs/>
        </w:rPr>
        <w:t xml:space="preserve">LAs </w:t>
      </w:r>
      <w:r w:rsidR="00926944">
        <w:rPr>
          <w:rFonts w:asciiTheme="minorHAnsi" w:hAnsiTheme="minorHAnsi" w:cs="Arial"/>
          <w:bCs/>
        </w:rPr>
        <w:t xml:space="preserve">are not directly linked to </w:t>
      </w:r>
      <w:r w:rsidR="00B52057">
        <w:rPr>
          <w:rFonts w:asciiTheme="minorHAnsi" w:hAnsiTheme="minorHAnsi" w:cs="Arial"/>
          <w:bCs/>
        </w:rPr>
        <w:t>WLAs</w:t>
      </w:r>
      <w:r w:rsidR="00926944">
        <w:rPr>
          <w:rFonts w:asciiTheme="minorHAnsi" w:hAnsiTheme="minorHAnsi" w:cs="Arial"/>
          <w:bCs/>
        </w:rPr>
        <w:t xml:space="preserve">. </w:t>
      </w:r>
      <w:r w:rsidR="00AF098B">
        <w:rPr>
          <w:rFonts w:asciiTheme="minorHAnsi" w:hAnsiTheme="minorHAnsi" w:cs="Arial"/>
          <w:bCs/>
        </w:rPr>
        <w:t xml:space="preserve">If LAs and WLAs are not directly correlated, it is still important to tie LAs to nonpoint source implementation plans so as to ensure that the actions undertaken by designated management agencies (DMAs) are achieved on a particular timeline. </w:t>
      </w:r>
    </w:p>
    <w:p w:rsidR="000D0A2B" w:rsidRPr="00494CBB" w:rsidRDefault="00B679E1">
      <w:pPr>
        <w:pStyle w:val="Default"/>
        <w:spacing w:before="120" w:after="120"/>
        <w:rPr>
          <w:rFonts w:asciiTheme="minorHAnsi" w:hAnsiTheme="minorHAnsi" w:cs="Arial"/>
          <w:b/>
          <w:bCs/>
        </w:rPr>
      </w:pPr>
      <w:r w:rsidRPr="00494CBB">
        <w:rPr>
          <w:rFonts w:asciiTheme="minorHAnsi" w:hAnsiTheme="minorHAnsi" w:cs="Arial"/>
          <w:b/>
          <w:bCs/>
        </w:rPr>
        <w:t>I. Options and Examples</w:t>
      </w:r>
    </w:p>
    <w:tbl>
      <w:tblPr>
        <w:tblStyle w:val="TableGrid"/>
        <w:tblW w:w="0" w:type="auto"/>
        <w:tblLook w:val="04A0" w:firstRow="1" w:lastRow="0" w:firstColumn="1" w:lastColumn="0" w:noHBand="0" w:noVBand="1"/>
      </w:tblPr>
      <w:tblGrid>
        <w:gridCol w:w="5076"/>
        <w:gridCol w:w="5076"/>
      </w:tblGrid>
      <w:tr w:rsidR="0073377B">
        <w:tc>
          <w:tcPr>
            <w:tcW w:w="5076" w:type="dxa"/>
          </w:tcPr>
          <w:p w:rsidR="0073377B" w:rsidRPr="00E441D9" w:rsidRDefault="0073377B" w:rsidP="0073377B">
            <w:pPr>
              <w:rPr>
                <w:b/>
              </w:rPr>
            </w:pPr>
            <w:r w:rsidRPr="00E441D9">
              <w:rPr>
                <w:b/>
              </w:rPr>
              <w:t>Option A</w:t>
            </w:r>
          </w:p>
          <w:p w:rsidR="0073377B" w:rsidRPr="003C4AC3" w:rsidRDefault="0073377B" w:rsidP="0073377B">
            <w:pPr>
              <w:rPr>
                <w:i/>
              </w:rPr>
            </w:pPr>
            <w:r w:rsidRPr="003C4AC3">
              <w:rPr>
                <w:i/>
              </w:rPr>
              <w:t xml:space="preserve">Identify </w:t>
            </w:r>
            <w:r w:rsidR="00F90D11">
              <w:rPr>
                <w:i/>
              </w:rPr>
              <w:t>DMAs</w:t>
            </w:r>
            <w:r w:rsidRPr="003C4AC3">
              <w:rPr>
                <w:i/>
              </w:rPr>
              <w:t xml:space="preserve"> and types of actions those DMAs will undertake. </w:t>
            </w:r>
          </w:p>
          <w:p w:rsidR="0073377B" w:rsidRDefault="0073377B" w:rsidP="0073377B">
            <w:pPr>
              <w:rPr>
                <w:rFonts w:asciiTheme="minorHAnsi" w:hAnsiTheme="minorHAnsi" w:cs="Arial"/>
                <w:bCs/>
                <w:u w:val="single"/>
              </w:rPr>
            </w:pPr>
          </w:p>
        </w:tc>
        <w:tc>
          <w:tcPr>
            <w:tcW w:w="5076" w:type="dxa"/>
          </w:tcPr>
          <w:p w:rsidR="0073377B" w:rsidRPr="00E441D9" w:rsidRDefault="0073377B" w:rsidP="0073377B">
            <w:pPr>
              <w:rPr>
                <w:b/>
              </w:rPr>
            </w:pPr>
            <w:r>
              <w:rPr>
                <w:b/>
              </w:rPr>
              <w:t>Option B</w:t>
            </w:r>
          </w:p>
          <w:p w:rsidR="0073377B" w:rsidRPr="003C4AC3" w:rsidRDefault="0073377B" w:rsidP="00F90D11">
            <w:pPr>
              <w:spacing w:after="120"/>
              <w:rPr>
                <w:i/>
              </w:rPr>
            </w:pPr>
            <w:r w:rsidRPr="003C4AC3">
              <w:rPr>
                <w:i/>
              </w:rPr>
              <w:t xml:space="preserve">Identify </w:t>
            </w:r>
            <w:r w:rsidR="00F90D11">
              <w:rPr>
                <w:i/>
              </w:rPr>
              <w:t>DMAs,</w:t>
            </w:r>
            <w:r w:rsidRPr="003C4AC3">
              <w:rPr>
                <w:i/>
              </w:rPr>
              <w:t xml:space="preserve"> identify types of actions those DMAs will undertake, and identify implementation deadline</w:t>
            </w:r>
            <w:r w:rsidR="00AF098B">
              <w:rPr>
                <w:i/>
              </w:rPr>
              <w:t>s/milestones</w:t>
            </w:r>
            <w:r w:rsidRPr="003C4AC3">
              <w:rPr>
                <w:i/>
              </w:rPr>
              <w:t xml:space="preserve">. </w:t>
            </w:r>
          </w:p>
        </w:tc>
      </w:tr>
      <w:tr w:rsidR="00811E71">
        <w:tc>
          <w:tcPr>
            <w:tcW w:w="10152" w:type="dxa"/>
            <w:gridSpan w:val="2"/>
          </w:tcPr>
          <w:p w:rsidR="00811E71" w:rsidRPr="00E441D9" w:rsidRDefault="00811E71" w:rsidP="0073377B">
            <w:pPr>
              <w:rPr>
                <w:b/>
              </w:rPr>
            </w:pPr>
            <w:r>
              <w:rPr>
                <w:b/>
              </w:rPr>
              <w:t>Option C</w:t>
            </w:r>
          </w:p>
          <w:p w:rsidR="00811E71" w:rsidRPr="003C4AC3" w:rsidRDefault="00811E71" w:rsidP="00AF098B">
            <w:pPr>
              <w:rPr>
                <w:rFonts w:asciiTheme="minorHAnsi" w:hAnsiTheme="minorHAnsi" w:cs="Arial"/>
                <w:bCs/>
                <w:i/>
                <w:u w:val="single"/>
              </w:rPr>
            </w:pPr>
            <w:r w:rsidRPr="003C4AC3">
              <w:rPr>
                <w:i/>
              </w:rPr>
              <w:t xml:space="preserve">Identify </w:t>
            </w:r>
            <w:r w:rsidR="00F90D11">
              <w:rPr>
                <w:i/>
              </w:rPr>
              <w:t>DMAs</w:t>
            </w:r>
            <w:r w:rsidRPr="003C4AC3">
              <w:rPr>
                <w:i/>
              </w:rPr>
              <w:t xml:space="preserve"> identify types of actions those DMAs will undertake, identify implementation deadline, identify priority areas for undertaking those particular actions, and run various scenarios for achieving those milestones. </w:t>
            </w:r>
          </w:p>
          <w:p w:rsidR="00811E71" w:rsidRPr="003D6983" w:rsidRDefault="00811E71" w:rsidP="0073377B">
            <w:pPr>
              <w:rPr>
                <w:i/>
              </w:rPr>
            </w:pPr>
            <w:r>
              <w:t xml:space="preserve"> </w:t>
            </w:r>
          </w:p>
        </w:tc>
      </w:tr>
    </w:tbl>
    <w:p w:rsidR="00E81854" w:rsidRDefault="00E81854" w:rsidP="00E81854">
      <w:pPr>
        <w:pStyle w:val="Default"/>
        <w:rPr>
          <w:rFonts w:asciiTheme="minorHAnsi" w:hAnsiTheme="minorHAnsi"/>
          <w:b/>
        </w:rPr>
      </w:pPr>
    </w:p>
    <w:p w:rsidR="00AF098B" w:rsidRDefault="00494CBB" w:rsidP="00E81854">
      <w:pPr>
        <w:pStyle w:val="Default"/>
        <w:rPr>
          <w:rFonts w:asciiTheme="minorHAnsi" w:hAnsiTheme="minorHAnsi"/>
        </w:rPr>
      </w:pPr>
      <w:r>
        <w:rPr>
          <w:rFonts w:asciiTheme="minorHAnsi" w:hAnsiTheme="minorHAnsi"/>
          <w:b/>
        </w:rPr>
        <w:t xml:space="preserve">II. </w:t>
      </w:r>
      <w:r w:rsidR="00B679E1" w:rsidRPr="00494CBB">
        <w:rPr>
          <w:rFonts w:asciiTheme="minorHAnsi" w:hAnsiTheme="minorHAnsi"/>
          <w:b/>
        </w:rPr>
        <w:t>Recommended default</w:t>
      </w:r>
      <w:r w:rsidR="00A870A1">
        <w:rPr>
          <w:rFonts w:asciiTheme="minorHAnsi" w:hAnsiTheme="minorHAnsi"/>
        </w:rPr>
        <w:t xml:space="preserve">: </w:t>
      </w:r>
      <w:r w:rsidR="00AF098B">
        <w:rPr>
          <w:rFonts w:asciiTheme="minorHAnsi" w:hAnsiTheme="minorHAnsi"/>
        </w:rPr>
        <w:t xml:space="preserve">Unclear. Outstanding questions to address include: </w:t>
      </w:r>
    </w:p>
    <w:p w:rsidR="00DF63C5" w:rsidRDefault="00AF098B">
      <w:pPr>
        <w:pStyle w:val="Default"/>
        <w:numPr>
          <w:ilvl w:val="0"/>
          <w:numId w:val="9"/>
        </w:numPr>
        <w:rPr>
          <w:rFonts w:asciiTheme="minorHAnsi" w:hAnsiTheme="minorHAnsi"/>
        </w:rPr>
      </w:pPr>
      <w:r>
        <w:rPr>
          <w:rFonts w:asciiTheme="minorHAnsi" w:hAnsiTheme="minorHAnsi"/>
        </w:rPr>
        <w:t>How important are reasonable assurances if WLAs and LAs are not correlated?</w:t>
      </w:r>
    </w:p>
    <w:p w:rsidR="00DF63C5" w:rsidRDefault="00AF098B">
      <w:pPr>
        <w:pStyle w:val="Default"/>
        <w:numPr>
          <w:ilvl w:val="0"/>
          <w:numId w:val="9"/>
        </w:numPr>
        <w:rPr>
          <w:rFonts w:asciiTheme="minorHAnsi" w:hAnsiTheme="minorHAnsi"/>
        </w:rPr>
      </w:pPr>
      <w:r>
        <w:rPr>
          <w:rFonts w:asciiTheme="minorHAnsi" w:hAnsiTheme="minorHAnsi"/>
        </w:rPr>
        <w:t>How can implementation plans identify timelines and milestones for achieving LA goals?</w:t>
      </w:r>
    </w:p>
    <w:p w:rsidR="00DF63C5" w:rsidRDefault="00AF098B">
      <w:pPr>
        <w:pStyle w:val="Default"/>
        <w:numPr>
          <w:ilvl w:val="0"/>
          <w:numId w:val="9"/>
        </w:numPr>
        <w:rPr>
          <w:rFonts w:asciiTheme="minorHAnsi" w:hAnsiTheme="minorHAnsi"/>
        </w:rPr>
      </w:pPr>
      <w:r>
        <w:rPr>
          <w:rFonts w:asciiTheme="minorHAnsi" w:hAnsiTheme="minorHAnsi"/>
        </w:rPr>
        <w:t>Do historical BMP adoption rates</w:t>
      </w:r>
      <w:r w:rsidR="0018012E">
        <w:rPr>
          <w:rFonts w:asciiTheme="minorHAnsi" w:hAnsiTheme="minorHAnsi"/>
        </w:rPr>
        <w:t>, BMP efficiency rates, or quality standards</w:t>
      </w:r>
      <w:r>
        <w:rPr>
          <w:rFonts w:asciiTheme="minorHAnsi" w:hAnsiTheme="minorHAnsi"/>
        </w:rPr>
        <w:t xml:space="preserve"> in particular watersheds provide an appropriate benchmark for setting implementation plan objectives/timelines? </w:t>
      </w:r>
    </w:p>
    <w:p w:rsidR="00DF63C5" w:rsidRDefault="00AF098B">
      <w:pPr>
        <w:pStyle w:val="Default"/>
        <w:numPr>
          <w:ilvl w:val="0"/>
          <w:numId w:val="9"/>
        </w:numPr>
        <w:rPr>
          <w:rFonts w:asciiTheme="minorHAnsi" w:hAnsiTheme="minorHAnsi"/>
        </w:rPr>
      </w:pPr>
      <w:r>
        <w:rPr>
          <w:rFonts w:asciiTheme="minorHAnsi" w:hAnsiTheme="minorHAnsi"/>
        </w:rPr>
        <w:t>Should projected DMA funding play a role in setting implementation plan objectives/timelines?</w:t>
      </w:r>
    </w:p>
    <w:p w:rsidR="00DF63C5" w:rsidRDefault="00AF098B">
      <w:pPr>
        <w:pStyle w:val="Default"/>
        <w:numPr>
          <w:ilvl w:val="0"/>
          <w:numId w:val="9"/>
        </w:numPr>
        <w:rPr>
          <w:rFonts w:asciiTheme="minorHAnsi" w:hAnsiTheme="minorHAnsi"/>
        </w:rPr>
      </w:pPr>
      <w:r>
        <w:rPr>
          <w:rFonts w:asciiTheme="minorHAnsi" w:hAnsiTheme="minorHAnsi"/>
        </w:rPr>
        <w:t>What sort of follow-up is necessary to track implementation performance?</w:t>
      </w:r>
    </w:p>
    <w:p w:rsidR="00DF63C5" w:rsidRDefault="00AF098B">
      <w:pPr>
        <w:pStyle w:val="Default"/>
        <w:numPr>
          <w:ilvl w:val="0"/>
          <w:numId w:val="9"/>
        </w:numPr>
        <w:rPr>
          <w:rFonts w:asciiTheme="minorHAnsi" w:hAnsiTheme="minorHAnsi"/>
        </w:rPr>
      </w:pPr>
      <w:r>
        <w:rPr>
          <w:rFonts w:asciiTheme="minorHAnsi" w:hAnsiTheme="minorHAnsi"/>
        </w:rPr>
        <w:t xml:space="preserve">What are the necessary mechanisms for rectifying slower-than-expected implementation of nonpoint LA actions? </w:t>
      </w:r>
    </w:p>
    <w:p w:rsidR="00F20008" w:rsidRDefault="00F20008" w:rsidP="006D6D9B">
      <w:pPr>
        <w:pStyle w:val="Default"/>
        <w:tabs>
          <w:tab w:val="left" w:pos="810"/>
        </w:tabs>
        <w:rPr>
          <w:rFonts w:asciiTheme="minorHAnsi" w:hAnsiTheme="minorHAnsi" w:cs="Arial"/>
          <w:bCs/>
        </w:rPr>
      </w:pPr>
    </w:p>
    <w:p w:rsidR="006D6D9B" w:rsidRDefault="006D6D9B" w:rsidP="006D6D9B">
      <w:pPr>
        <w:pStyle w:val="Default"/>
        <w:tabs>
          <w:tab w:val="left" w:pos="810"/>
        </w:tabs>
        <w:rPr>
          <w:rFonts w:ascii="Calibri" w:hAnsi="Calibri"/>
        </w:rPr>
      </w:pPr>
      <w:r w:rsidRPr="00494CBB">
        <w:rPr>
          <w:rFonts w:asciiTheme="minorHAnsi" w:hAnsiTheme="minorHAnsi"/>
          <w:b/>
        </w:rPr>
        <w:t>III. Reasons to deviate from the default</w:t>
      </w:r>
      <w:r>
        <w:rPr>
          <w:rFonts w:asciiTheme="minorHAnsi" w:hAnsiTheme="minorHAnsi"/>
        </w:rPr>
        <w:t>: What other situations should we consider?</w:t>
      </w:r>
    </w:p>
    <w:p w:rsidR="00F863A7" w:rsidRDefault="00F863A7" w:rsidP="00541476">
      <w:pPr>
        <w:pStyle w:val="Default"/>
        <w:spacing w:before="120" w:after="120"/>
        <w:rPr>
          <w:rFonts w:asciiTheme="minorHAnsi" w:hAnsiTheme="minorHAnsi" w:cs="Arial"/>
          <w:b/>
          <w:bCs/>
        </w:rPr>
      </w:pPr>
    </w:p>
    <w:sectPr w:rsidR="00F863A7" w:rsidSect="004F2167">
      <w:footerReference w:type="default" r:id="rId9"/>
      <w:headerReference w:type="first" r:id="rId10"/>
      <w:footerReference w:type="first" r:id="rId11"/>
      <w:type w:val="continuous"/>
      <w:pgSz w:w="12240" w:h="15840"/>
      <w:pgMar w:top="1152" w:right="1152" w:bottom="720" w:left="1152" w:header="720" w:footer="50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D52" w:rsidRDefault="00025D52" w:rsidP="00140B12">
      <w:r>
        <w:separator/>
      </w:r>
    </w:p>
    <w:p w:rsidR="00025D52" w:rsidRDefault="00025D52"/>
  </w:endnote>
  <w:endnote w:type="continuationSeparator" w:id="0">
    <w:p w:rsidR="00025D52" w:rsidRDefault="00025D52" w:rsidP="00140B12">
      <w:r>
        <w:continuationSeparator/>
      </w:r>
    </w:p>
    <w:p w:rsidR="00025D52" w:rsidRDefault="00025D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0315450"/>
      <w:docPartObj>
        <w:docPartGallery w:val="Page Numbers (Bottom of Page)"/>
        <w:docPartUnique/>
      </w:docPartObj>
    </w:sdtPr>
    <w:sdtEndPr/>
    <w:sdtContent>
      <w:sdt>
        <w:sdtPr>
          <w:id w:val="689417417"/>
          <w:docPartObj>
            <w:docPartGallery w:val="Page Numbers (Top of Page)"/>
            <w:docPartUnique/>
          </w:docPartObj>
        </w:sdtPr>
        <w:sdtEndPr/>
        <w:sdtContent>
          <w:p w:rsidR="002D0889" w:rsidRDefault="002D0889" w:rsidP="0040059B">
            <w:pPr>
              <w:pStyle w:val="Footer"/>
              <w:spacing w:before="240"/>
              <w:jc w:val="center"/>
            </w:pPr>
            <w:r>
              <w:t xml:space="preserve">Page </w:t>
            </w:r>
            <w:r w:rsidR="004200D1">
              <w:rPr>
                <w:b/>
                <w:sz w:val="24"/>
                <w:szCs w:val="24"/>
              </w:rPr>
              <w:fldChar w:fldCharType="begin"/>
            </w:r>
            <w:r>
              <w:rPr>
                <w:b/>
              </w:rPr>
              <w:instrText xml:space="preserve"> PAGE </w:instrText>
            </w:r>
            <w:r w:rsidR="004200D1">
              <w:rPr>
                <w:b/>
                <w:sz w:val="24"/>
                <w:szCs w:val="24"/>
              </w:rPr>
              <w:fldChar w:fldCharType="separate"/>
            </w:r>
            <w:r w:rsidR="003A418E">
              <w:rPr>
                <w:b/>
                <w:noProof/>
              </w:rPr>
              <w:t>6</w:t>
            </w:r>
            <w:r w:rsidR="004200D1">
              <w:rPr>
                <w:b/>
                <w:sz w:val="24"/>
                <w:szCs w:val="24"/>
              </w:rPr>
              <w:fldChar w:fldCharType="end"/>
            </w:r>
            <w:r>
              <w:t xml:space="preserve"> of </w:t>
            </w:r>
            <w:r w:rsidR="004200D1">
              <w:rPr>
                <w:b/>
                <w:sz w:val="24"/>
                <w:szCs w:val="24"/>
              </w:rPr>
              <w:fldChar w:fldCharType="begin"/>
            </w:r>
            <w:r>
              <w:rPr>
                <w:b/>
              </w:rPr>
              <w:instrText xml:space="preserve"> NUMPAGES  </w:instrText>
            </w:r>
            <w:r w:rsidR="004200D1">
              <w:rPr>
                <w:b/>
                <w:sz w:val="24"/>
                <w:szCs w:val="24"/>
              </w:rPr>
              <w:fldChar w:fldCharType="separate"/>
            </w:r>
            <w:r w:rsidR="003A418E">
              <w:rPr>
                <w:b/>
                <w:noProof/>
              </w:rPr>
              <w:t>15</w:t>
            </w:r>
            <w:r w:rsidR="004200D1">
              <w:rPr>
                <w:b/>
                <w:sz w:val="24"/>
                <w:szCs w:val="24"/>
              </w:rPr>
              <w:fldChar w:fldCharType="end"/>
            </w:r>
          </w:p>
        </w:sdtContent>
      </w:sdt>
    </w:sdtContent>
  </w:sdt>
  <w:p w:rsidR="002D0889" w:rsidRDefault="002D088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744449"/>
      <w:docPartObj>
        <w:docPartGallery w:val="Page Numbers (Bottom of Page)"/>
        <w:docPartUnique/>
      </w:docPartObj>
    </w:sdtPr>
    <w:sdtEndPr/>
    <w:sdtContent>
      <w:sdt>
        <w:sdtPr>
          <w:id w:val="-1152904335"/>
          <w:docPartObj>
            <w:docPartGallery w:val="Page Numbers (Top of Page)"/>
            <w:docPartUnique/>
          </w:docPartObj>
        </w:sdtPr>
        <w:sdtEndPr/>
        <w:sdtContent>
          <w:p w:rsidR="002D0889" w:rsidRDefault="002D0889" w:rsidP="00CC258F">
            <w:pPr>
              <w:pStyle w:val="Footer"/>
              <w:jc w:val="center"/>
            </w:pPr>
            <w:r>
              <w:t xml:space="preserve">Page </w:t>
            </w:r>
            <w:r w:rsidR="004200D1">
              <w:rPr>
                <w:b/>
                <w:sz w:val="24"/>
                <w:szCs w:val="24"/>
              </w:rPr>
              <w:fldChar w:fldCharType="begin"/>
            </w:r>
            <w:r>
              <w:rPr>
                <w:b/>
              </w:rPr>
              <w:instrText xml:space="preserve"> PAGE </w:instrText>
            </w:r>
            <w:r w:rsidR="004200D1">
              <w:rPr>
                <w:b/>
                <w:sz w:val="24"/>
                <w:szCs w:val="24"/>
              </w:rPr>
              <w:fldChar w:fldCharType="separate"/>
            </w:r>
            <w:r w:rsidR="003A418E">
              <w:rPr>
                <w:b/>
                <w:noProof/>
              </w:rPr>
              <w:t>1</w:t>
            </w:r>
            <w:r w:rsidR="004200D1">
              <w:rPr>
                <w:b/>
                <w:sz w:val="24"/>
                <w:szCs w:val="24"/>
              </w:rPr>
              <w:fldChar w:fldCharType="end"/>
            </w:r>
            <w:r>
              <w:t xml:space="preserve"> of </w:t>
            </w:r>
            <w:r w:rsidR="004200D1">
              <w:rPr>
                <w:b/>
                <w:sz w:val="24"/>
                <w:szCs w:val="24"/>
              </w:rPr>
              <w:fldChar w:fldCharType="begin"/>
            </w:r>
            <w:r>
              <w:rPr>
                <w:b/>
              </w:rPr>
              <w:instrText xml:space="preserve"> NUMPAGES  </w:instrText>
            </w:r>
            <w:r w:rsidR="004200D1">
              <w:rPr>
                <w:b/>
                <w:sz w:val="24"/>
                <w:szCs w:val="24"/>
              </w:rPr>
              <w:fldChar w:fldCharType="separate"/>
            </w:r>
            <w:r w:rsidR="003A418E">
              <w:rPr>
                <w:b/>
                <w:noProof/>
              </w:rPr>
              <w:t>15</w:t>
            </w:r>
            <w:r w:rsidR="004200D1">
              <w:rPr>
                <w:b/>
                <w:sz w:val="24"/>
                <w:szCs w:val="24"/>
              </w:rPr>
              <w:fldChar w:fldCharType="end"/>
            </w:r>
          </w:p>
        </w:sdtContent>
      </w:sdt>
    </w:sdtContent>
  </w:sdt>
  <w:p w:rsidR="002D0889" w:rsidRDefault="002D088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D52" w:rsidRDefault="00025D52" w:rsidP="00140B12">
      <w:r>
        <w:separator/>
      </w:r>
    </w:p>
    <w:p w:rsidR="00025D52" w:rsidRDefault="00025D52"/>
  </w:footnote>
  <w:footnote w:type="continuationSeparator" w:id="0">
    <w:p w:rsidR="00025D52" w:rsidRDefault="00025D52" w:rsidP="00140B12">
      <w:r>
        <w:continuationSeparator/>
      </w:r>
    </w:p>
    <w:p w:rsidR="00025D52" w:rsidRDefault="00025D52"/>
  </w:footnote>
  <w:footnote w:id="1">
    <w:p w:rsidR="002D0889" w:rsidRPr="00547B8D" w:rsidRDefault="002D0889" w:rsidP="00EF7C16">
      <w:pPr>
        <w:pStyle w:val="FootnoteText"/>
      </w:pPr>
      <w:r>
        <w:rPr>
          <w:rStyle w:val="FootnoteReference"/>
        </w:rPr>
        <w:footnoteRef/>
      </w:r>
      <w:r>
        <w:t xml:space="preserve"> </w:t>
      </w:r>
      <w:r w:rsidRPr="0040059B">
        <w:t>OAR 340-041</w:t>
      </w:r>
      <w:r w:rsidRPr="00547B8D">
        <w:t>-0028(12)(b).</w:t>
      </w:r>
    </w:p>
  </w:footnote>
  <w:footnote w:id="2">
    <w:p w:rsidR="002D0889" w:rsidRPr="00547B8D" w:rsidRDefault="002D0889" w:rsidP="00EF7C16">
      <w:pPr>
        <w:pStyle w:val="FootnoteText"/>
      </w:pPr>
      <w:r w:rsidRPr="00547B8D">
        <w:rPr>
          <w:rStyle w:val="FootnoteReference"/>
        </w:rPr>
        <w:footnoteRef/>
      </w:r>
      <w:r w:rsidRPr="00547B8D">
        <w:t xml:space="preserve"> IDAPA 58.01.02(401)(01)(c); WAC 173-201A-200(c).</w:t>
      </w:r>
    </w:p>
  </w:footnote>
  <w:footnote w:id="3">
    <w:p w:rsidR="002D0889" w:rsidRDefault="002D0889" w:rsidP="00EF7C16">
      <w:pPr>
        <w:pStyle w:val="FootnoteText"/>
      </w:pPr>
      <w:r w:rsidRPr="00547B8D">
        <w:rPr>
          <w:rStyle w:val="FootnoteReference"/>
        </w:rPr>
        <w:footnoteRef/>
      </w:r>
      <w:r w:rsidRPr="00547B8D">
        <w:t xml:space="preserve"> IDAPA 58.01.02(401)(01)(c); WAC 173-201A-200(c)(ii)(A).</w:t>
      </w:r>
    </w:p>
  </w:footnote>
  <w:footnote w:id="4">
    <w:p w:rsidR="002D0889" w:rsidRPr="00547B8D" w:rsidRDefault="002D0889">
      <w:pPr>
        <w:pStyle w:val="FootnoteText"/>
      </w:pPr>
      <w:r w:rsidRPr="00F835E3">
        <w:rPr>
          <w:rStyle w:val="FootnoteReference"/>
        </w:rPr>
        <w:footnoteRef/>
      </w:r>
      <w:r w:rsidRPr="00F835E3">
        <w:t xml:space="preserve"> </w:t>
      </w:r>
      <w:r w:rsidRPr="00547B8D">
        <w:t>OAR 340–041–0028(8).</w:t>
      </w:r>
    </w:p>
  </w:footnote>
  <w:footnote w:id="5">
    <w:p w:rsidR="002D0889" w:rsidRPr="00547B8D" w:rsidRDefault="002D0889">
      <w:pPr>
        <w:pStyle w:val="FootnoteText"/>
      </w:pPr>
      <w:r w:rsidRPr="00547B8D">
        <w:rPr>
          <w:rStyle w:val="FootnoteReference"/>
        </w:rPr>
        <w:footnoteRef/>
      </w:r>
      <w:r w:rsidRPr="00547B8D">
        <w:t xml:space="preserve"> IDAPA 58.01.02.250.02; WAC 173-201A-070(2).</w:t>
      </w:r>
    </w:p>
  </w:footnote>
  <w:footnote w:id="6">
    <w:p w:rsidR="002D0889" w:rsidRDefault="002D0889">
      <w:pPr>
        <w:pStyle w:val="FootnoteText"/>
      </w:pPr>
      <w:r w:rsidRPr="00547B8D">
        <w:rPr>
          <w:rStyle w:val="FootnoteReference"/>
        </w:rPr>
        <w:footnoteRef/>
      </w:r>
      <w:r w:rsidRPr="00547B8D">
        <w:t xml:space="preserve"> </w:t>
      </w:r>
      <w:r w:rsidR="00F90767" w:rsidRPr="00547B8D">
        <w:rPr>
          <w:bCs/>
        </w:rPr>
        <w:t>WAC 173-201-200(d), (g)</w:t>
      </w:r>
    </w:p>
  </w:footnote>
  <w:footnote w:id="7">
    <w:p w:rsidR="00F90767" w:rsidRDefault="00F90767">
      <w:pPr>
        <w:pStyle w:val="FootnoteText"/>
      </w:pPr>
      <w:r>
        <w:rPr>
          <w:rStyle w:val="FootnoteReference"/>
        </w:rPr>
        <w:footnoteRef/>
      </w:r>
      <w:r>
        <w:t xml:space="preserve"> </w:t>
      </w:r>
      <w:r>
        <w:t>Pa. Code ch. 96.8(d)(3)(A)-(B)</w:t>
      </w:r>
    </w:p>
  </w:footnote>
  <w:footnote w:id="8">
    <w:p w:rsidR="00F90767" w:rsidRDefault="00F90767">
      <w:pPr>
        <w:pStyle w:val="FootnoteText"/>
      </w:pPr>
      <w:r>
        <w:rPr>
          <w:rStyle w:val="FootnoteReference"/>
        </w:rPr>
        <w:footnoteRef/>
      </w:r>
      <w:r>
        <w:t xml:space="preserve"> </w:t>
      </w:r>
      <w:r w:rsidRPr="00101FAD">
        <w:t>Pa. Code ch. 96.8(d)(3)(C)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889" w:rsidRDefault="002D0889" w:rsidP="009F6CC6">
    <w:pPr>
      <w:pStyle w:val="Header"/>
      <w:ind w:right="-90"/>
      <w:jc w:val="center"/>
      <w:rPr>
        <w:rFonts w:ascii="Palatino Linotype" w:hAnsi="Palatino Linotype"/>
        <w:smallCaps/>
        <w:sz w:val="36"/>
        <w:szCs w:val="38"/>
      </w:rPr>
    </w:pPr>
    <w:r>
      <w:rPr>
        <w:rFonts w:ascii="Palatino Linotype" w:hAnsi="Palatino Linotype"/>
        <w:smallCaps/>
        <w:sz w:val="36"/>
        <w:szCs w:val="38"/>
      </w:rPr>
      <w:t xml:space="preserve">Best Practices for </w:t>
    </w:r>
    <w:r w:rsidRPr="000F4633">
      <w:rPr>
        <w:rFonts w:ascii="Palatino Linotype" w:hAnsi="Palatino Linotype"/>
        <w:smallCaps/>
        <w:sz w:val="36"/>
        <w:szCs w:val="38"/>
      </w:rPr>
      <w:t>Water Quality Trading</w:t>
    </w:r>
  </w:p>
  <w:p w:rsidR="002D0889" w:rsidRPr="009F6CC6" w:rsidRDefault="002D0889" w:rsidP="009F6CC6">
    <w:pPr>
      <w:pStyle w:val="Header"/>
      <w:ind w:right="-90"/>
      <w:jc w:val="center"/>
      <w:rPr>
        <w:rFonts w:ascii="Palatino Linotype" w:hAnsi="Palatino Linotype"/>
        <w:smallCaps/>
        <w:sz w:val="36"/>
        <w:szCs w:val="38"/>
      </w:rPr>
    </w:pPr>
    <w:r w:rsidRPr="000F4633">
      <w:rPr>
        <w:rFonts w:ascii="Palatino Linotype" w:hAnsi="Palatino Linotype"/>
        <w:smallCaps/>
        <w:sz w:val="36"/>
        <w:szCs w:val="38"/>
      </w:rPr>
      <w:t>Joint Regional Agreement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B52F2"/>
    <w:multiLevelType w:val="hybridMultilevel"/>
    <w:tmpl w:val="AE7A2D06"/>
    <w:lvl w:ilvl="0" w:tplc="AD425F8A">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453B0C"/>
    <w:multiLevelType w:val="hybridMultilevel"/>
    <w:tmpl w:val="D82480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B7016F2"/>
    <w:multiLevelType w:val="hybridMultilevel"/>
    <w:tmpl w:val="04882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605EC8"/>
    <w:multiLevelType w:val="hybridMultilevel"/>
    <w:tmpl w:val="B7583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04F7B0D"/>
    <w:multiLevelType w:val="hybridMultilevel"/>
    <w:tmpl w:val="F4AC0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2B22F3"/>
    <w:multiLevelType w:val="hybridMultilevel"/>
    <w:tmpl w:val="CDEEB5DA"/>
    <w:lvl w:ilvl="0" w:tplc="85D00F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9C5217"/>
    <w:multiLevelType w:val="hybridMultilevel"/>
    <w:tmpl w:val="F3C42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3F650B"/>
    <w:multiLevelType w:val="hybridMultilevel"/>
    <w:tmpl w:val="C3A415AC"/>
    <w:lvl w:ilvl="0" w:tplc="B88EC8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6D2268"/>
    <w:multiLevelType w:val="hybridMultilevel"/>
    <w:tmpl w:val="6E182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3E2617"/>
    <w:multiLevelType w:val="hybridMultilevel"/>
    <w:tmpl w:val="E48444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C94729C"/>
    <w:multiLevelType w:val="hybridMultilevel"/>
    <w:tmpl w:val="35ECF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162378"/>
    <w:multiLevelType w:val="hybridMultilevel"/>
    <w:tmpl w:val="A1269A2E"/>
    <w:lvl w:ilvl="0" w:tplc="278C79B6">
      <w:start w:val="2"/>
      <w:numFmt w:val="upp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30D7A8A"/>
    <w:multiLevelType w:val="hybridMultilevel"/>
    <w:tmpl w:val="AD4EF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0"/>
  </w:num>
  <w:num w:numId="4">
    <w:abstractNumId w:val="2"/>
  </w:num>
  <w:num w:numId="5">
    <w:abstractNumId w:val="8"/>
  </w:num>
  <w:num w:numId="6">
    <w:abstractNumId w:val="1"/>
  </w:num>
  <w:num w:numId="7">
    <w:abstractNumId w:val="9"/>
  </w:num>
  <w:num w:numId="8">
    <w:abstractNumId w:val="3"/>
  </w:num>
  <w:num w:numId="9">
    <w:abstractNumId w:val="6"/>
  </w:num>
  <w:num w:numId="10">
    <w:abstractNumId w:val="4"/>
  </w:num>
  <w:num w:numId="11">
    <w:abstractNumId w:val="11"/>
  </w:num>
  <w:num w:numId="12">
    <w:abstractNumId w:val="5"/>
  </w:num>
  <w:num w:numId="13">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8D9"/>
    <w:rsid w:val="0000233C"/>
    <w:rsid w:val="00004C3A"/>
    <w:rsid w:val="00010DA6"/>
    <w:rsid w:val="00011E60"/>
    <w:rsid w:val="00011F86"/>
    <w:rsid w:val="00015EB4"/>
    <w:rsid w:val="000160AE"/>
    <w:rsid w:val="00025D52"/>
    <w:rsid w:val="00026488"/>
    <w:rsid w:val="0003184E"/>
    <w:rsid w:val="00034DEE"/>
    <w:rsid w:val="000373B5"/>
    <w:rsid w:val="00047497"/>
    <w:rsid w:val="00050D52"/>
    <w:rsid w:val="0005547C"/>
    <w:rsid w:val="000554B2"/>
    <w:rsid w:val="00056020"/>
    <w:rsid w:val="000619BB"/>
    <w:rsid w:val="00062F34"/>
    <w:rsid w:val="00067939"/>
    <w:rsid w:val="000702B9"/>
    <w:rsid w:val="00072F16"/>
    <w:rsid w:val="00073E94"/>
    <w:rsid w:val="00077AAD"/>
    <w:rsid w:val="00080845"/>
    <w:rsid w:val="000814C0"/>
    <w:rsid w:val="00084BFD"/>
    <w:rsid w:val="00092F7D"/>
    <w:rsid w:val="00094957"/>
    <w:rsid w:val="00095384"/>
    <w:rsid w:val="000A2CE9"/>
    <w:rsid w:val="000A43EB"/>
    <w:rsid w:val="000A4C46"/>
    <w:rsid w:val="000A7387"/>
    <w:rsid w:val="000B2DF9"/>
    <w:rsid w:val="000B67D5"/>
    <w:rsid w:val="000B743B"/>
    <w:rsid w:val="000C33FC"/>
    <w:rsid w:val="000C54FD"/>
    <w:rsid w:val="000C6C1F"/>
    <w:rsid w:val="000C6EFA"/>
    <w:rsid w:val="000D0A2B"/>
    <w:rsid w:val="000D5199"/>
    <w:rsid w:val="000D56C1"/>
    <w:rsid w:val="000D73A0"/>
    <w:rsid w:val="000E0334"/>
    <w:rsid w:val="000E3740"/>
    <w:rsid w:val="000E69A4"/>
    <w:rsid w:val="000F3D02"/>
    <w:rsid w:val="000F51B1"/>
    <w:rsid w:val="00101FAD"/>
    <w:rsid w:val="00103D62"/>
    <w:rsid w:val="001070BC"/>
    <w:rsid w:val="001121FD"/>
    <w:rsid w:val="00114AFF"/>
    <w:rsid w:val="00114C36"/>
    <w:rsid w:val="00120B04"/>
    <w:rsid w:val="00120BD1"/>
    <w:rsid w:val="0012132B"/>
    <w:rsid w:val="00130E20"/>
    <w:rsid w:val="00135857"/>
    <w:rsid w:val="00140B12"/>
    <w:rsid w:val="001423B1"/>
    <w:rsid w:val="00144E81"/>
    <w:rsid w:val="00146BA4"/>
    <w:rsid w:val="00154859"/>
    <w:rsid w:val="00155A0A"/>
    <w:rsid w:val="001616CF"/>
    <w:rsid w:val="001638E9"/>
    <w:rsid w:val="00171061"/>
    <w:rsid w:val="001749AB"/>
    <w:rsid w:val="00176C07"/>
    <w:rsid w:val="00176D12"/>
    <w:rsid w:val="00177408"/>
    <w:rsid w:val="0018012E"/>
    <w:rsid w:val="001818A0"/>
    <w:rsid w:val="00184112"/>
    <w:rsid w:val="00193A9A"/>
    <w:rsid w:val="00195A1E"/>
    <w:rsid w:val="001A19C2"/>
    <w:rsid w:val="001A49E4"/>
    <w:rsid w:val="001A5F39"/>
    <w:rsid w:val="001A774D"/>
    <w:rsid w:val="001B133E"/>
    <w:rsid w:val="001C0568"/>
    <w:rsid w:val="001D4BED"/>
    <w:rsid w:val="001D7378"/>
    <w:rsid w:val="001E2C2A"/>
    <w:rsid w:val="001E592C"/>
    <w:rsid w:val="001F0B66"/>
    <w:rsid w:val="001F1159"/>
    <w:rsid w:val="001F5EC9"/>
    <w:rsid w:val="00201D3A"/>
    <w:rsid w:val="00203C9F"/>
    <w:rsid w:val="0021440A"/>
    <w:rsid w:val="00214BF9"/>
    <w:rsid w:val="002201A0"/>
    <w:rsid w:val="00232030"/>
    <w:rsid w:val="002326AE"/>
    <w:rsid w:val="00233AC6"/>
    <w:rsid w:val="00240B73"/>
    <w:rsid w:val="00241820"/>
    <w:rsid w:val="002538D6"/>
    <w:rsid w:val="00254AC8"/>
    <w:rsid w:val="0026059E"/>
    <w:rsid w:val="002612A9"/>
    <w:rsid w:val="002619F2"/>
    <w:rsid w:val="0026244F"/>
    <w:rsid w:val="002624FB"/>
    <w:rsid w:val="00264177"/>
    <w:rsid w:val="002678D9"/>
    <w:rsid w:val="002744F1"/>
    <w:rsid w:val="00275435"/>
    <w:rsid w:val="00281604"/>
    <w:rsid w:val="00282D9D"/>
    <w:rsid w:val="00283050"/>
    <w:rsid w:val="00287693"/>
    <w:rsid w:val="00293864"/>
    <w:rsid w:val="002939B2"/>
    <w:rsid w:val="0029488D"/>
    <w:rsid w:val="0029498A"/>
    <w:rsid w:val="002A192B"/>
    <w:rsid w:val="002A2180"/>
    <w:rsid w:val="002B2343"/>
    <w:rsid w:val="002B45D2"/>
    <w:rsid w:val="002C0108"/>
    <w:rsid w:val="002C1010"/>
    <w:rsid w:val="002C1814"/>
    <w:rsid w:val="002C46B1"/>
    <w:rsid w:val="002C560F"/>
    <w:rsid w:val="002C70F6"/>
    <w:rsid w:val="002C7B6F"/>
    <w:rsid w:val="002D0889"/>
    <w:rsid w:val="002D3101"/>
    <w:rsid w:val="002D4563"/>
    <w:rsid w:val="002D5A89"/>
    <w:rsid w:val="002E2802"/>
    <w:rsid w:val="002E381F"/>
    <w:rsid w:val="002E4DD3"/>
    <w:rsid w:val="002F647F"/>
    <w:rsid w:val="002F79D0"/>
    <w:rsid w:val="003018E3"/>
    <w:rsid w:val="0030344F"/>
    <w:rsid w:val="0030421C"/>
    <w:rsid w:val="00320307"/>
    <w:rsid w:val="0032126C"/>
    <w:rsid w:val="003229E4"/>
    <w:rsid w:val="00327669"/>
    <w:rsid w:val="003277AB"/>
    <w:rsid w:val="00330DC1"/>
    <w:rsid w:val="00331A5E"/>
    <w:rsid w:val="00333231"/>
    <w:rsid w:val="003460ED"/>
    <w:rsid w:val="003461F0"/>
    <w:rsid w:val="00352F7D"/>
    <w:rsid w:val="003563F6"/>
    <w:rsid w:val="00357B72"/>
    <w:rsid w:val="00357DAE"/>
    <w:rsid w:val="00365650"/>
    <w:rsid w:val="003802F8"/>
    <w:rsid w:val="00390343"/>
    <w:rsid w:val="003925F9"/>
    <w:rsid w:val="003942BE"/>
    <w:rsid w:val="003A17B5"/>
    <w:rsid w:val="003A418E"/>
    <w:rsid w:val="003B1705"/>
    <w:rsid w:val="003B3E0D"/>
    <w:rsid w:val="003C0B7F"/>
    <w:rsid w:val="003C41F2"/>
    <w:rsid w:val="003C4AC3"/>
    <w:rsid w:val="003C71AE"/>
    <w:rsid w:val="003D6983"/>
    <w:rsid w:val="003E33D3"/>
    <w:rsid w:val="003F1535"/>
    <w:rsid w:val="003F3432"/>
    <w:rsid w:val="003F7CAD"/>
    <w:rsid w:val="0040059B"/>
    <w:rsid w:val="0040136E"/>
    <w:rsid w:val="0040266A"/>
    <w:rsid w:val="0040345E"/>
    <w:rsid w:val="004037AC"/>
    <w:rsid w:val="004051D5"/>
    <w:rsid w:val="00415677"/>
    <w:rsid w:val="004200D1"/>
    <w:rsid w:val="0042435D"/>
    <w:rsid w:val="004271C3"/>
    <w:rsid w:val="00427AE4"/>
    <w:rsid w:val="00434E56"/>
    <w:rsid w:val="00436BAA"/>
    <w:rsid w:val="0043757A"/>
    <w:rsid w:val="0044397C"/>
    <w:rsid w:val="00444A98"/>
    <w:rsid w:val="00444FBD"/>
    <w:rsid w:val="004454D2"/>
    <w:rsid w:val="00451410"/>
    <w:rsid w:val="004525E6"/>
    <w:rsid w:val="004550A7"/>
    <w:rsid w:val="0045547F"/>
    <w:rsid w:val="00456AB4"/>
    <w:rsid w:val="00460EA4"/>
    <w:rsid w:val="004659E3"/>
    <w:rsid w:val="004662B2"/>
    <w:rsid w:val="004676B8"/>
    <w:rsid w:val="00471135"/>
    <w:rsid w:val="004751AE"/>
    <w:rsid w:val="0048004F"/>
    <w:rsid w:val="00485250"/>
    <w:rsid w:val="00486A2E"/>
    <w:rsid w:val="00486E8D"/>
    <w:rsid w:val="004947E5"/>
    <w:rsid w:val="00494CBB"/>
    <w:rsid w:val="004A5E1F"/>
    <w:rsid w:val="004C004B"/>
    <w:rsid w:val="004C1D64"/>
    <w:rsid w:val="004C329F"/>
    <w:rsid w:val="004C5EAC"/>
    <w:rsid w:val="004C775C"/>
    <w:rsid w:val="004D000A"/>
    <w:rsid w:val="004D4D2A"/>
    <w:rsid w:val="004D6176"/>
    <w:rsid w:val="004E4237"/>
    <w:rsid w:val="004F1900"/>
    <w:rsid w:val="004F2167"/>
    <w:rsid w:val="004F59C4"/>
    <w:rsid w:val="00500E4F"/>
    <w:rsid w:val="005031D7"/>
    <w:rsid w:val="00515CB9"/>
    <w:rsid w:val="00520256"/>
    <w:rsid w:val="0052036A"/>
    <w:rsid w:val="00520A88"/>
    <w:rsid w:val="00520DD2"/>
    <w:rsid w:val="00522C0B"/>
    <w:rsid w:val="005312BB"/>
    <w:rsid w:val="00531BF5"/>
    <w:rsid w:val="00531DA3"/>
    <w:rsid w:val="00533108"/>
    <w:rsid w:val="005337AF"/>
    <w:rsid w:val="0053648F"/>
    <w:rsid w:val="00537173"/>
    <w:rsid w:val="00541476"/>
    <w:rsid w:val="00544F0B"/>
    <w:rsid w:val="00545203"/>
    <w:rsid w:val="00547B8D"/>
    <w:rsid w:val="005606E2"/>
    <w:rsid w:val="005616B3"/>
    <w:rsid w:val="0056392E"/>
    <w:rsid w:val="005719B3"/>
    <w:rsid w:val="00571DD8"/>
    <w:rsid w:val="00572599"/>
    <w:rsid w:val="0057512E"/>
    <w:rsid w:val="005771F7"/>
    <w:rsid w:val="00580204"/>
    <w:rsid w:val="00580F3E"/>
    <w:rsid w:val="00582E09"/>
    <w:rsid w:val="00583410"/>
    <w:rsid w:val="00585988"/>
    <w:rsid w:val="005862A8"/>
    <w:rsid w:val="005878E9"/>
    <w:rsid w:val="0059223F"/>
    <w:rsid w:val="005922CF"/>
    <w:rsid w:val="00592ED2"/>
    <w:rsid w:val="00594804"/>
    <w:rsid w:val="00594D2E"/>
    <w:rsid w:val="005978F7"/>
    <w:rsid w:val="005B25E8"/>
    <w:rsid w:val="005B73B2"/>
    <w:rsid w:val="005C0D83"/>
    <w:rsid w:val="005C15DE"/>
    <w:rsid w:val="005C1FCC"/>
    <w:rsid w:val="005C2F46"/>
    <w:rsid w:val="005C3A30"/>
    <w:rsid w:val="005C3FA8"/>
    <w:rsid w:val="005C75FC"/>
    <w:rsid w:val="005D2D42"/>
    <w:rsid w:val="005D3091"/>
    <w:rsid w:val="005D55C4"/>
    <w:rsid w:val="005D58F9"/>
    <w:rsid w:val="005E4597"/>
    <w:rsid w:val="005E5519"/>
    <w:rsid w:val="005E7FE6"/>
    <w:rsid w:val="005F1369"/>
    <w:rsid w:val="005F29F8"/>
    <w:rsid w:val="005F43A2"/>
    <w:rsid w:val="005F693D"/>
    <w:rsid w:val="005F6D3C"/>
    <w:rsid w:val="006023AD"/>
    <w:rsid w:val="006064E4"/>
    <w:rsid w:val="0060671B"/>
    <w:rsid w:val="006068AE"/>
    <w:rsid w:val="006076FB"/>
    <w:rsid w:val="0061055F"/>
    <w:rsid w:val="0062067B"/>
    <w:rsid w:val="006208B7"/>
    <w:rsid w:val="006227F9"/>
    <w:rsid w:val="00623D22"/>
    <w:rsid w:val="0062440F"/>
    <w:rsid w:val="00626A95"/>
    <w:rsid w:val="00626D7B"/>
    <w:rsid w:val="00630FC9"/>
    <w:rsid w:val="00631022"/>
    <w:rsid w:val="00633D20"/>
    <w:rsid w:val="006341B4"/>
    <w:rsid w:val="00643D66"/>
    <w:rsid w:val="0064431B"/>
    <w:rsid w:val="00644782"/>
    <w:rsid w:val="00646E11"/>
    <w:rsid w:val="0065595C"/>
    <w:rsid w:val="00662338"/>
    <w:rsid w:val="00665A89"/>
    <w:rsid w:val="00665EF1"/>
    <w:rsid w:val="00670938"/>
    <w:rsid w:val="00671CB5"/>
    <w:rsid w:val="00674BEE"/>
    <w:rsid w:val="006753A2"/>
    <w:rsid w:val="0068311C"/>
    <w:rsid w:val="0068477C"/>
    <w:rsid w:val="00684AA9"/>
    <w:rsid w:val="006856C0"/>
    <w:rsid w:val="006908E0"/>
    <w:rsid w:val="00691BFD"/>
    <w:rsid w:val="006A5D3F"/>
    <w:rsid w:val="006A6794"/>
    <w:rsid w:val="006A73AD"/>
    <w:rsid w:val="006B2B5C"/>
    <w:rsid w:val="006B46DF"/>
    <w:rsid w:val="006B4A5C"/>
    <w:rsid w:val="006C6A91"/>
    <w:rsid w:val="006D41D0"/>
    <w:rsid w:val="006D4687"/>
    <w:rsid w:val="006D48FF"/>
    <w:rsid w:val="006D596B"/>
    <w:rsid w:val="006D6D9B"/>
    <w:rsid w:val="006F01B9"/>
    <w:rsid w:val="006F048C"/>
    <w:rsid w:val="006F4BB2"/>
    <w:rsid w:val="007009ED"/>
    <w:rsid w:val="00703624"/>
    <w:rsid w:val="00706150"/>
    <w:rsid w:val="00710C8A"/>
    <w:rsid w:val="00710EDB"/>
    <w:rsid w:val="007125DE"/>
    <w:rsid w:val="00713A4D"/>
    <w:rsid w:val="00715017"/>
    <w:rsid w:val="00715B3A"/>
    <w:rsid w:val="007211A1"/>
    <w:rsid w:val="00721425"/>
    <w:rsid w:val="00727987"/>
    <w:rsid w:val="00730FEB"/>
    <w:rsid w:val="00731A68"/>
    <w:rsid w:val="0073377B"/>
    <w:rsid w:val="00735C24"/>
    <w:rsid w:val="007410D4"/>
    <w:rsid w:val="00743470"/>
    <w:rsid w:val="00744323"/>
    <w:rsid w:val="0076762B"/>
    <w:rsid w:val="0078415D"/>
    <w:rsid w:val="007911FD"/>
    <w:rsid w:val="00791A17"/>
    <w:rsid w:val="007930D2"/>
    <w:rsid w:val="00793FE2"/>
    <w:rsid w:val="007940BA"/>
    <w:rsid w:val="007972A6"/>
    <w:rsid w:val="007A1AF8"/>
    <w:rsid w:val="007A2E2A"/>
    <w:rsid w:val="007B0F5C"/>
    <w:rsid w:val="007B1085"/>
    <w:rsid w:val="007B5882"/>
    <w:rsid w:val="007C07C6"/>
    <w:rsid w:val="007C2D0D"/>
    <w:rsid w:val="007D47F0"/>
    <w:rsid w:val="007D67FE"/>
    <w:rsid w:val="007E0D53"/>
    <w:rsid w:val="007E3786"/>
    <w:rsid w:val="007F3C2D"/>
    <w:rsid w:val="007F5362"/>
    <w:rsid w:val="007F7496"/>
    <w:rsid w:val="00801944"/>
    <w:rsid w:val="0080231C"/>
    <w:rsid w:val="00811E71"/>
    <w:rsid w:val="0081507E"/>
    <w:rsid w:val="0082038B"/>
    <w:rsid w:val="008216FB"/>
    <w:rsid w:val="00825A0C"/>
    <w:rsid w:val="00827723"/>
    <w:rsid w:val="0083023D"/>
    <w:rsid w:val="00831189"/>
    <w:rsid w:val="00832023"/>
    <w:rsid w:val="00833451"/>
    <w:rsid w:val="00840D4E"/>
    <w:rsid w:val="00842F98"/>
    <w:rsid w:val="00844F0E"/>
    <w:rsid w:val="00844F5D"/>
    <w:rsid w:val="0085044F"/>
    <w:rsid w:val="00851E0E"/>
    <w:rsid w:val="00857ED2"/>
    <w:rsid w:val="008651CE"/>
    <w:rsid w:val="00865DDF"/>
    <w:rsid w:val="00872911"/>
    <w:rsid w:val="00873B17"/>
    <w:rsid w:val="00876B32"/>
    <w:rsid w:val="00882EF6"/>
    <w:rsid w:val="008831EA"/>
    <w:rsid w:val="008845E9"/>
    <w:rsid w:val="00884CCA"/>
    <w:rsid w:val="00892981"/>
    <w:rsid w:val="008A3E42"/>
    <w:rsid w:val="008A6A61"/>
    <w:rsid w:val="008B129F"/>
    <w:rsid w:val="008B4EAF"/>
    <w:rsid w:val="008C0F38"/>
    <w:rsid w:val="008C13B9"/>
    <w:rsid w:val="008C1A39"/>
    <w:rsid w:val="008C27AA"/>
    <w:rsid w:val="008C2F65"/>
    <w:rsid w:val="008C346C"/>
    <w:rsid w:val="008C44B1"/>
    <w:rsid w:val="008C722D"/>
    <w:rsid w:val="008C7FF4"/>
    <w:rsid w:val="008D2765"/>
    <w:rsid w:val="008D3A10"/>
    <w:rsid w:val="008D3B49"/>
    <w:rsid w:val="008E11C7"/>
    <w:rsid w:val="008E2A8D"/>
    <w:rsid w:val="008E3E11"/>
    <w:rsid w:val="008E5F62"/>
    <w:rsid w:val="008E6ED9"/>
    <w:rsid w:val="008F28EE"/>
    <w:rsid w:val="008F4C2E"/>
    <w:rsid w:val="008F7A4E"/>
    <w:rsid w:val="0091053B"/>
    <w:rsid w:val="009112CE"/>
    <w:rsid w:val="00911C8F"/>
    <w:rsid w:val="00911F2B"/>
    <w:rsid w:val="009128B7"/>
    <w:rsid w:val="00912B3E"/>
    <w:rsid w:val="0091378D"/>
    <w:rsid w:val="00925954"/>
    <w:rsid w:val="00926944"/>
    <w:rsid w:val="00930A5B"/>
    <w:rsid w:val="009325AA"/>
    <w:rsid w:val="009423F2"/>
    <w:rsid w:val="009427B0"/>
    <w:rsid w:val="009455C4"/>
    <w:rsid w:val="0095217B"/>
    <w:rsid w:val="009554CC"/>
    <w:rsid w:val="00965566"/>
    <w:rsid w:val="00975ECB"/>
    <w:rsid w:val="00984BC2"/>
    <w:rsid w:val="009855E7"/>
    <w:rsid w:val="0099332F"/>
    <w:rsid w:val="00995C2D"/>
    <w:rsid w:val="00996C39"/>
    <w:rsid w:val="00997849"/>
    <w:rsid w:val="009A3950"/>
    <w:rsid w:val="009A5BD9"/>
    <w:rsid w:val="009A5E52"/>
    <w:rsid w:val="009B1832"/>
    <w:rsid w:val="009B54D1"/>
    <w:rsid w:val="009C108E"/>
    <w:rsid w:val="009C3DBD"/>
    <w:rsid w:val="009C4403"/>
    <w:rsid w:val="009D1A95"/>
    <w:rsid w:val="009D219F"/>
    <w:rsid w:val="009D22EC"/>
    <w:rsid w:val="009D7E34"/>
    <w:rsid w:val="009E5D88"/>
    <w:rsid w:val="009E6D3F"/>
    <w:rsid w:val="009E7BE3"/>
    <w:rsid w:val="009F0FA1"/>
    <w:rsid w:val="009F29F2"/>
    <w:rsid w:val="009F449F"/>
    <w:rsid w:val="009F6CC6"/>
    <w:rsid w:val="009F6E2F"/>
    <w:rsid w:val="009F76C4"/>
    <w:rsid w:val="00A033EE"/>
    <w:rsid w:val="00A12339"/>
    <w:rsid w:val="00A12713"/>
    <w:rsid w:val="00A1279E"/>
    <w:rsid w:val="00A130C6"/>
    <w:rsid w:val="00A16A48"/>
    <w:rsid w:val="00A23C39"/>
    <w:rsid w:val="00A2460C"/>
    <w:rsid w:val="00A24758"/>
    <w:rsid w:val="00A24933"/>
    <w:rsid w:val="00A24B18"/>
    <w:rsid w:val="00A32BE9"/>
    <w:rsid w:val="00A33EDE"/>
    <w:rsid w:val="00A34014"/>
    <w:rsid w:val="00A34F79"/>
    <w:rsid w:val="00A375E1"/>
    <w:rsid w:val="00A37C2F"/>
    <w:rsid w:val="00A407BF"/>
    <w:rsid w:val="00A60F23"/>
    <w:rsid w:val="00A62F16"/>
    <w:rsid w:val="00A64934"/>
    <w:rsid w:val="00A64E61"/>
    <w:rsid w:val="00A666CE"/>
    <w:rsid w:val="00A70CDE"/>
    <w:rsid w:val="00A821E9"/>
    <w:rsid w:val="00A86E44"/>
    <w:rsid w:val="00A870A1"/>
    <w:rsid w:val="00A87A82"/>
    <w:rsid w:val="00A9324F"/>
    <w:rsid w:val="00A96ED5"/>
    <w:rsid w:val="00AA0C01"/>
    <w:rsid w:val="00AA420C"/>
    <w:rsid w:val="00AA52F2"/>
    <w:rsid w:val="00AB094E"/>
    <w:rsid w:val="00AC4F93"/>
    <w:rsid w:val="00AC73F7"/>
    <w:rsid w:val="00AD0A83"/>
    <w:rsid w:val="00AD0C56"/>
    <w:rsid w:val="00AD3498"/>
    <w:rsid w:val="00AE1171"/>
    <w:rsid w:val="00AE1B19"/>
    <w:rsid w:val="00AF098B"/>
    <w:rsid w:val="00AF1A73"/>
    <w:rsid w:val="00AF445B"/>
    <w:rsid w:val="00B01386"/>
    <w:rsid w:val="00B03416"/>
    <w:rsid w:val="00B04D63"/>
    <w:rsid w:val="00B06A8E"/>
    <w:rsid w:val="00B12313"/>
    <w:rsid w:val="00B1443D"/>
    <w:rsid w:val="00B2001C"/>
    <w:rsid w:val="00B21C55"/>
    <w:rsid w:val="00B24736"/>
    <w:rsid w:val="00B24DCA"/>
    <w:rsid w:val="00B26353"/>
    <w:rsid w:val="00B264D7"/>
    <w:rsid w:val="00B279B3"/>
    <w:rsid w:val="00B3425D"/>
    <w:rsid w:val="00B40F3A"/>
    <w:rsid w:val="00B437D2"/>
    <w:rsid w:val="00B44660"/>
    <w:rsid w:val="00B45B1F"/>
    <w:rsid w:val="00B51530"/>
    <w:rsid w:val="00B51823"/>
    <w:rsid w:val="00B52057"/>
    <w:rsid w:val="00B6012C"/>
    <w:rsid w:val="00B61B11"/>
    <w:rsid w:val="00B658A7"/>
    <w:rsid w:val="00B675DC"/>
    <w:rsid w:val="00B679E1"/>
    <w:rsid w:val="00B70584"/>
    <w:rsid w:val="00B73089"/>
    <w:rsid w:val="00B76865"/>
    <w:rsid w:val="00B77B82"/>
    <w:rsid w:val="00B800F0"/>
    <w:rsid w:val="00B827BD"/>
    <w:rsid w:val="00B83382"/>
    <w:rsid w:val="00B87815"/>
    <w:rsid w:val="00B91873"/>
    <w:rsid w:val="00B94345"/>
    <w:rsid w:val="00B94774"/>
    <w:rsid w:val="00B96763"/>
    <w:rsid w:val="00BA05DC"/>
    <w:rsid w:val="00BB1E06"/>
    <w:rsid w:val="00BB4057"/>
    <w:rsid w:val="00BB4E38"/>
    <w:rsid w:val="00BB763F"/>
    <w:rsid w:val="00BC4599"/>
    <w:rsid w:val="00BC68A4"/>
    <w:rsid w:val="00BD385D"/>
    <w:rsid w:val="00BD40D7"/>
    <w:rsid w:val="00BD5212"/>
    <w:rsid w:val="00BD5C8F"/>
    <w:rsid w:val="00BD674B"/>
    <w:rsid w:val="00BD6BCB"/>
    <w:rsid w:val="00BF0336"/>
    <w:rsid w:val="00BF1300"/>
    <w:rsid w:val="00BF1C96"/>
    <w:rsid w:val="00BF3ECC"/>
    <w:rsid w:val="00BF410C"/>
    <w:rsid w:val="00BF6FC0"/>
    <w:rsid w:val="00C014D6"/>
    <w:rsid w:val="00C01CBD"/>
    <w:rsid w:val="00C06CA8"/>
    <w:rsid w:val="00C106CE"/>
    <w:rsid w:val="00C11E52"/>
    <w:rsid w:val="00C13EE8"/>
    <w:rsid w:val="00C14B98"/>
    <w:rsid w:val="00C2580A"/>
    <w:rsid w:val="00C275A8"/>
    <w:rsid w:val="00C35AC8"/>
    <w:rsid w:val="00C37145"/>
    <w:rsid w:val="00C37C44"/>
    <w:rsid w:val="00C470E4"/>
    <w:rsid w:val="00C47626"/>
    <w:rsid w:val="00C51509"/>
    <w:rsid w:val="00C53C1E"/>
    <w:rsid w:val="00C56F94"/>
    <w:rsid w:val="00C60074"/>
    <w:rsid w:val="00C616A9"/>
    <w:rsid w:val="00C61C3A"/>
    <w:rsid w:val="00C63821"/>
    <w:rsid w:val="00C652B2"/>
    <w:rsid w:val="00C67374"/>
    <w:rsid w:val="00C67617"/>
    <w:rsid w:val="00C70410"/>
    <w:rsid w:val="00C71843"/>
    <w:rsid w:val="00C73B0A"/>
    <w:rsid w:val="00C755AB"/>
    <w:rsid w:val="00C76CDF"/>
    <w:rsid w:val="00C8026C"/>
    <w:rsid w:val="00C81943"/>
    <w:rsid w:val="00C81DE8"/>
    <w:rsid w:val="00C83007"/>
    <w:rsid w:val="00C8425A"/>
    <w:rsid w:val="00C95B49"/>
    <w:rsid w:val="00CA5E7E"/>
    <w:rsid w:val="00CB536B"/>
    <w:rsid w:val="00CB5FEE"/>
    <w:rsid w:val="00CC0011"/>
    <w:rsid w:val="00CC258F"/>
    <w:rsid w:val="00CC4737"/>
    <w:rsid w:val="00CC4CEE"/>
    <w:rsid w:val="00CD0A95"/>
    <w:rsid w:val="00CD1442"/>
    <w:rsid w:val="00CD22F9"/>
    <w:rsid w:val="00CD6D0A"/>
    <w:rsid w:val="00CD7F1C"/>
    <w:rsid w:val="00CE45E8"/>
    <w:rsid w:val="00CE6F22"/>
    <w:rsid w:val="00D01CF7"/>
    <w:rsid w:val="00D06414"/>
    <w:rsid w:val="00D102E5"/>
    <w:rsid w:val="00D1235E"/>
    <w:rsid w:val="00D136A7"/>
    <w:rsid w:val="00D14DD1"/>
    <w:rsid w:val="00D16CE1"/>
    <w:rsid w:val="00D17ED4"/>
    <w:rsid w:val="00D2050C"/>
    <w:rsid w:val="00D224C6"/>
    <w:rsid w:val="00D23FD0"/>
    <w:rsid w:val="00D250C3"/>
    <w:rsid w:val="00D258FB"/>
    <w:rsid w:val="00D3166B"/>
    <w:rsid w:val="00D35D74"/>
    <w:rsid w:val="00D36F69"/>
    <w:rsid w:val="00D42153"/>
    <w:rsid w:val="00D431A9"/>
    <w:rsid w:val="00D44BF4"/>
    <w:rsid w:val="00D463AF"/>
    <w:rsid w:val="00D479B8"/>
    <w:rsid w:val="00D568DD"/>
    <w:rsid w:val="00D66166"/>
    <w:rsid w:val="00D66489"/>
    <w:rsid w:val="00D67749"/>
    <w:rsid w:val="00D708A4"/>
    <w:rsid w:val="00D72A0C"/>
    <w:rsid w:val="00D76591"/>
    <w:rsid w:val="00D80E61"/>
    <w:rsid w:val="00D81457"/>
    <w:rsid w:val="00D8545A"/>
    <w:rsid w:val="00D865CC"/>
    <w:rsid w:val="00D9385C"/>
    <w:rsid w:val="00D9563B"/>
    <w:rsid w:val="00DA575A"/>
    <w:rsid w:val="00DA6B14"/>
    <w:rsid w:val="00DB00ED"/>
    <w:rsid w:val="00DB29C3"/>
    <w:rsid w:val="00DB34FB"/>
    <w:rsid w:val="00DB5E42"/>
    <w:rsid w:val="00DC1216"/>
    <w:rsid w:val="00DC3E41"/>
    <w:rsid w:val="00DC469E"/>
    <w:rsid w:val="00DC72AF"/>
    <w:rsid w:val="00DC7A6C"/>
    <w:rsid w:val="00DD3527"/>
    <w:rsid w:val="00DD45F2"/>
    <w:rsid w:val="00DD7EC7"/>
    <w:rsid w:val="00DE50D0"/>
    <w:rsid w:val="00DF191E"/>
    <w:rsid w:val="00DF1D79"/>
    <w:rsid w:val="00DF2832"/>
    <w:rsid w:val="00DF2D71"/>
    <w:rsid w:val="00DF6076"/>
    <w:rsid w:val="00DF63C5"/>
    <w:rsid w:val="00E007CE"/>
    <w:rsid w:val="00E02C53"/>
    <w:rsid w:val="00E033CB"/>
    <w:rsid w:val="00E039A3"/>
    <w:rsid w:val="00E04AC5"/>
    <w:rsid w:val="00E06888"/>
    <w:rsid w:val="00E100E4"/>
    <w:rsid w:val="00E15AC2"/>
    <w:rsid w:val="00E16A07"/>
    <w:rsid w:val="00E20040"/>
    <w:rsid w:val="00E32CCD"/>
    <w:rsid w:val="00E341B8"/>
    <w:rsid w:val="00E3449D"/>
    <w:rsid w:val="00E368EC"/>
    <w:rsid w:val="00E4083E"/>
    <w:rsid w:val="00E441D9"/>
    <w:rsid w:val="00E519FC"/>
    <w:rsid w:val="00E53A0C"/>
    <w:rsid w:val="00E54A90"/>
    <w:rsid w:val="00E56B0D"/>
    <w:rsid w:val="00E61A25"/>
    <w:rsid w:val="00E715EB"/>
    <w:rsid w:val="00E72FF4"/>
    <w:rsid w:val="00E754B4"/>
    <w:rsid w:val="00E76C6F"/>
    <w:rsid w:val="00E81854"/>
    <w:rsid w:val="00E8378C"/>
    <w:rsid w:val="00E84E2C"/>
    <w:rsid w:val="00E87374"/>
    <w:rsid w:val="00E87A35"/>
    <w:rsid w:val="00E92EFC"/>
    <w:rsid w:val="00E95826"/>
    <w:rsid w:val="00E97456"/>
    <w:rsid w:val="00EA02B7"/>
    <w:rsid w:val="00EA0430"/>
    <w:rsid w:val="00EA0981"/>
    <w:rsid w:val="00EA18C2"/>
    <w:rsid w:val="00EA5787"/>
    <w:rsid w:val="00EC2323"/>
    <w:rsid w:val="00EC302B"/>
    <w:rsid w:val="00EC3F3F"/>
    <w:rsid w:val="00ED4AD7"/>
    <w:rsid w:val="00EE11B0"/>
    <w:rsid w:val="00EE191A"/>
    <w:rsid w:val="00EE1B41"/>
    <w:rsid w:val="00EF7C16"/>
    <w:rsid w:val="00F02A73"/>
    <w:rsid w:val="00F053AD"/>
    <w:rsid w:val="00F13DA4"/>
    <w:rsid w:val="00F15CB5"/>
    <w:rsid w:val="00F169E7"/>
    <w:rsid w:val="00F172C5"/>
    <w:rsid w:val="00F20008"/>
    <w:rsid w:val="00F30081"/>
    <w:rsid w:val="00F30E35"/>
    <w:rsid w:val="00F35288"/>
    <w:rsid w:val="00F4110F"/>
    <w:rsid w:val="00F41870"/>
    <w:rsid w:val="00F428E3"/>
    <w:rsid w:val="00F456C3"/>
    <w:rsid w:val="00F50E95"/>
    <w:rsid w:val="00F57689"/>
    <w:rsid w:val="00F57D25"/>
    <w:rsid w:val="00F62091"/>
    <w:rsid w:val="00F62A23"/>
    <w:rsid w:val="00F642E6"/>
    <w:rsid w:val="00F64CCE"/>
    <w:rsid w:val="00F710C8"/>
    <w:rsid w:val="00F74622"/>
    <w:rsid w:val="00F76FC1"/>
    <w:rsid w:val="00F80DF4"/>
    <w:rsid w:val="00F818B0"/>
    <w:rsid w:val="00F81AB6"/>
    <w:rsid w:val="00F83318"/>
    <w:rsid w:val="00F835E3"/>
    <w:rsid w:val="00F853F9"/>
    <w:rsid w:val="00F863A7"/>
    <w:rsid w:val="00F90767"/>
    <w:rsid w:val="00F90D11"/>
    <w:rsid w:val="00F94471"/>
    <w:rsid w:val="00F95671"/>
    <w:rsid w:val="00F958AC"/>
    <w:rsid w:val="00FB4EEB"/>
    <w:rsid w:val="00FC0946"/>
    <w:rsid w:val="00FC438F"/>
    <w:rsid w:val="00FD0A1A"/>
    <w:rsid w:val="00FD4929"/>
    <w:rsid w:val="00FD4B88"/>
    <w:rsid w:val="00FD6BE9"/>
    <w:rsid w:val="00FE3AC9"/>
    <w:rsid w:val="00FF5269"/>
    <w:rsid w:val="00FF68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toc 2" w:uiPriority="39"/>
    <w:lsdException w:name="toc 3" w:uiPriority="39"/>
  </w:latentStyles>
  <w:style w:type="paragraph" w:default="1" w:styleId="Normal">
    <w:name w:val="Normal"/>
    <w:qFormat/>
    <w:rsid w:val="002678D9"/>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8C2F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Default"/>
    <w:next w:val="Normal"/>
    <w:link w:val="Heading2Char"/>
    <w:uiPriority w:val="9"/>
    <w:unhideWhenUsed/>
    <w:qFormat/>
    <w:rsid w:val="008C2F65"/>
    <w:pPr>
      <w:spacing w:before="600"/>
      <w:outlineLvl w:val="1"/>
    </w:pPr>
    <w:rPr>
      <w:rFonts w:ascii="Palatino Linotype" w:hAnsi="Palatino Linotype" w:cs="Arial"/>
      <w:bCs/>
      <w:sz w:val="28"/>
      <w:szCs w:val="23"/>
    </w:rPr>
  </w:style>
  <w:style w:type="paragraph" w:styleId="Heading3">
    <w:name w:val="heading 3"/>
    <w:basedOn w:val="Default"/>
    <w:next w:val="Normal"/>
    <w:link w:val="Heading3Char"/>
    <w:uiPriority w:val="9"/>
    <w:unhideWhenUsed/>
    <w:qFormat/>
    <w:rsid w:val="00996C39"/>
    <w:pPr>
      <w:spacing w:before="120" w:after="120"/>
      <w:outlineLvl w:val="2"/>
    </w:pPr>
    <w:rPr>
      <w:rFonts w:asciiTheme="minorHAnsi" w:hAnsiTheme="minorHAnsi" w:cs="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678D9"/>
    <w:rPr>
      <w:rFonts w:ascii="Tahoma" w:hAnsi="Tahoma" w:cs="Tahoma"/>
      <w:sz w:val="16"/>
      <w:szCs w:val="16"/>
    </w:rPr>
  </w:style>
  <w:style w:type="character" w:customStyle="1" w:styleId="BalloonTextChar">
    <w:name w:val="Balloon Text Char"/>
    <w:basedOn w:val="DefaultParagraphFont"/>
    <w:uiPriority w:val="99"/>
    <w:semiHidden/>
    <w:rsid w:val="00386F2D"/>
    <w:rPr>
      <w:rFonts w:ascii="Lucida Grande" w:hAnsi="Lucida Grande"/>
      <w:sz w:val="18"/>
      <w:szCs w:val="18"/>
    </w:rPr>
  </w:style>
  <w:style w:type="paragraph" w:customStyle="1" w:styleId="Default">
    <w:name w:val="Default"/>
    <w:rsid w:val="002678D9"/>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rsid w:val="002678D9"/>
    <w:rPr>
      <w:sz w:val="16"/>
      <w:szCs w:val="16"/>
    </w:rPr>
  </w:style>
  <w:style w:type="paragraph" w:styleId="CommentText">
    <w:name w:val="annotation text"/>
    <w:basedOn w:val="Normal"/>
    <w:link w:val="CommentTextChar"/>
    <w:rsid w:val="002678D9"/>
    <w:rPr>
      <w:sz w:val="20"/>
      <w:szCs w:val="20"/>
    </w:rPr>
  </w:style>
  <w:style w:type="character" w:customStyle="1" w:styleId="CommentTextChar">
    <w:name w:val="Comment Text Char"/>
    <w:basedOn w:val="DefaultParagraphFont"/>
    <w:link w:val="CommentText"/>
    <w:rsid w:val="002678D9"/>
    <w:rPr>
      <w:sz w:val="20"/>
      <w:szCs w:val="20"/>
    </w:rPr>
  </w:style>
  <w:style w:type="paragraph" w:styleId="Header">
    <w:name w:val="header"/>
    <w:basedOn w:val="Normal"/>
    <w:link w:val="HeaderChar"/>
    <w:rsid w:val="002678D9"/>
    <w:pPr>
      <w:tabs>
        <w:tab w:val="center" w:pos="4680"/>
        <w:tab w:val="right" w:pos="9360"/>
      </w:tabs>
    </w:pPr>
  </w:style>
  <w:style w:type="character" w:customStyle="1" w:styleId="HeaderChar">
    <w:name w:val="Header Char"/>
    <w:basedOn w:val="DefaultParagraphFont"/>
    <w:link w:val="Header"/>
    <w:rsid w:val="002678D9"/>
  </w:style>
  <w:style w:type="paragraph" w:styleId="Footer">
    <w:name w:val="footer"/>
    <w:basedOn w:val="Normal"/>
    <w:link w:val="FooterChar"/>
    <w:uiPriority w:val="99"/>
    <w:rsid w:val="002678D9"/>
    <w:pPr>
      <w:tabs>
        <w:tab w:val="center" w:pos="4680"/>
        <w:tab w:val="right" w:pos="9360"/>
      </w:tabs>
    </w:pPr>
  </w:style>
  <w:style w:type="character" w:customStyle="1" w:styleId="FooterChar">
    <w:name w:val="Footer Char"/>
    <w:basedOn w:val="DefaultParagraphFont"/>
    <w:link w:val="Footer"/>
    <w:uiPriority w:val="99"/>
    <w:rsid w:val="002678D9"/>
  </w:style>
  <w:style w:type="character" w:customStyle="1" w:styleId="BalloonTextChar1">
    <w:name w:val="Balloon Text Char1"/>
    <w:basedOn w:val="DefaultParagraphFont"/>
    <w:link w:val="BalloonText"/>
    <w:uiPriority w:val="99"/>
    <w:semiHidden/>
    <w:rsid w:val="002678D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678D9"/>
    <w:rPr>
      <w:b/>
      <w:bCs/>
    </w:rPr>
  </w:style>
  <w:style w:type="character" w:customStyle="1" w:styleId="CommentSubjectChar">
    <w:name w:val="Comment Subject Char"/>
    <w:basedOn w:val="CommentTextChar"/>
    <w:link w:val="CommentSubject"/>
    <w:uiPriority w:val="99"/>
    <w:semiHidden/>
    <w:rsid w:val="002678D9"/>
    <w:rPr>
      <w:b/>
      <w:bCs/>
      <w:sz w:val="20"/>
      <w:szCs w:val="20"/>
    </w:rPr>
  </w:style>
  <w:style w:type="paragraph" w:styleId="ListParagraph">
    <w:name w:val="List Paragraph"/>
    <w:basedOn w:val="Normal"/>
    <w:uiPriority w:val="34"/>
    <w:qFormat/>
    <w:rsid w:val="002678D9"/>
    <w:pPr>
      <w:ind w:left="720"/>
    </w:pPr>
  </w:style>
  <w:style w:type="character" w:styleId="Hyperlink">
    <w:name w:val="Hyperlink"/>
    <w:basedOn w:val="DefaultParagraphFont"/>
    <w:uiPriority w:val="99"/>
    <w:unhideWhenUsed/>
    <w:rsid w:val="007B0F5C"/>
    <w:rPr>
      <w:color w:val="0000FF" w:themeColor="hyperlink"/>
      <w:u w:val="single"/>
    </w:rPr>
  </w:style>
  <w:style w:type="paragraph" w:styleId="FootnoteText">
    <w:name w:val="footnote text"/>
    <w:basedOn w:val="Normal"/>
    <w:link w:val="FootnoteTextChar"/>
    <w:uiPriority w:val="99"/>
    <w:semiHidden/>
    <w:rsid w:val="006341B4"/>
    <w:rPr>
      <w:rFonts w:ascii="Times New Roman" w:eastAsia="Calibri" w:hAnsi="Times New Roman"/>
      <w:sz w:val="20"/>
      <w:szCs w:val="20"/>
    </w:rPr>
  </w:style>
  <w:style w:type="character" w:customStyle="1" w:styleId="FootnoteTextChar">
    <w:name w:val="Footnote Text Char"/>
    <w:basedOn w:val="DefaultParagraphFont"/>
    <w:link w:val="FootnoteText"/>
    <w:uiPriority w:val="99"/>
    <w:semiHidden/>
    <w:rsid w:val="006341B4"/>
    <w:rPr>
      <w:rFonts w:ascii="Times New Roman" w:eastAsia="Calibri" w:hAnsi="Times New Roman" w:cs="Times New Roman"/>
      <w:sz w:val="20"/>
      <w:szCs w:val="20"/>
    </w:rPr>
  </w:style>
  <w:style w:type="character" w:styleId="FootnoteReference">
    <w:name w:val="footnote reference"/>
    <w:basedOn w:val="DefaultParagraphFont"/>
    <w:uiPriority w:val="99"/>
    <w:semiHidden/>
    <w:rsid w:val="006341B4"/>
    <w:rPr>
      <w:rFonts w:cs="Times New Roman"/>
      <w:vertAlign w:val="superscript"/>
    </w:rPr>
  </w:style>
  <w:style w:type="table" w:styleId="TableGrid">
    <w:name w:val="Table Grid"/>
    <w:basedOn w:val="TableNormal"/>
    <w:uiPriority w:val="59"/>
    <w:rsid w:val="00034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76762B"/>
    <w:pPr>
      <w:spacing w:after="200"/>
    </w:pPr>
    <w:rPr>
      <w:b/>
      <w:bCs/>
      <w:color w:val="4F81BD" w:themeColor="accent1"/>
      <w:sz w:val="18"/>
      <w:szCs w:val="18"/>
    </w:rPr>
  </w:style>
  <w:style w:type="character" w:customStyle="1" w:styleId="Heading2Char">
    <w:name w:val="Heading 2 Char"/>
    <w:basedOn w:val="DefaultParagraphFont"/>
    <w:link w:val="Heading2"/>
    <w:uiPriority w:val="9"/>
    <w:rsid w:val="008C2F65"/>
    <w:rPr>
      <w:rFonts w:ascii="Palatino Linotype" w:hAnsi="Palatino Linotype" w:cs="Arial"/>
      <w:bCs/>
      <w:color w:val="000000"/>
      <w:sz w:val="28"/>
      <w:szCs w:val="23"/>
    </w:rPr>
  </w:style>
  <w:style w:type="character" w:customStyle="1" w:styleId="Heading1Char">
    <w:name w:val="Heading 1 Char"/>
    <w:basedOn w:val="DefaultParagraphFont"/>
    <w:link w:val="Heading1"/>
    <w:uiPriority w:val="9"/>
    <w:rsid w:val="008C2F6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8C2F65"/>
    <w:pPr>
      <w:spacing w:line="276" w:lineRule="auto"/>
      <w:outlineLvl w:val="9"/>
    </w:pPr>
    <w:rPr>
      <w:lang w:eastAsia="ja-JP"/>
    </w:rPr>
  </w:style>
  <w:style w:type="paragraph" w:styleId="TOC2">
    <w:name w:val="toc 2"/>
    <w:basedOn w:val="Normal"/>
    <w:next w:val="Normal"/>
    <w:autoRedefine/>
    <w:uiPriority w:val="39"/>
    <w:unhideWhenUsed/>
    <w:rsid w:val="008C2F65"/>
    <w:pPr>
      <w:spacing w:after="100"/>
      <w:ind w:left="220"/>
    </w:pPr>
  </w:style>
  <w:style w:type="paragraph" w:customStyle="1" w:styleId="MainBodyText">
    <w:name w:val="Main Body Text"/>
    <w:basedOn w:val="Normal"/>
    <w:rsid w:val="00500E4F"/>
    <w:pPr>
      <w:spacing w:after="140"/>
    </w:pPr>
    <w:rPr>
      <w:rFonts w:ascii="Garamond" w:eastAsia="Times New Roman" w:hAnsi="Garamond"/>
      <w:color w:val="000000"/>
      <w:kern w:val="28"/>
    </w:rPr>
  </w:style>
  <w:style w:type="paragraph" w:customStyle="1" w:styleId="TextBoxBodyText">
    <w:name w:val="Text Box Body Text"/>
    <w:basedOn w:val="Normal"/>
    <w:rsid w:val="00500E4F"/>
    <w:pPr>
      <w:spacing w:after="160"/>
    </w:pPr>
    <w:rPr>
      <w:rFonts w:eastAsia="Times New Roman"/>
      <w:color w:val="000000"/>
      <w:kern w:val="28"/>
      <w:sz w:val="20"/>
      <w:szCs w:val="20"/>
    </w:rPr>
  </w:style>
  <w:style w:type="character" w:customStyle="1" w:styleId="Heading3Char">
    <w:name w:val="Heading 3 Char"/>
    <w:basedOn w:val="DefaultParagraphFont"/>
    <w:link w:val="Heading3"/>
    <w:uiPriority w:val="9"/>
    <w:rsid w:val="00996C39"/>
    <w:rPr>
      <w:rFonts w:cs="Arial"/>
      <w:b/>
      <w:bCs/>
      <w:i/>
      <w:color w:val="000000"/>
      <w:sz w:val="24"/>
      <w:szCs w:val="24"/>
    </w:rPr>
  </w:style>
  <w:style w:type="paragraph" w:styleId="TOC3">
    <w:name w:val="toc 3"/>
    <w:basedOn w:val="Normal"/>
    <w:next w:val="Normal"/>
    <w:autoRedefine/>
    <w:uiPriority w:val="39"/>
    <w:unhideWhenUsed/>
    <w:rsid w:val="00996C39"/>
    <w:pPr>
      <w:spacing w:after="100"/>
      <w:ind w:left="440"/>
    </w:pPr>
  </w:style>
  <w:style w:type="paragraph" w:styleId="Revision">
    <w:name w:val="Revision"/>
    <w:hidden/>
    <w:uiPriority w:val="99"/>
    <w:semiHidden/>
    <w:rsid w:val="00C8026C"/>
    <w:pPr>
      <w:spacing w:after="0" w:line="240" w:lineRule="auto"/>
    </w:pPr>
    <w:rPr>
      <w:rFonts w:ascii="Calibri" w:hAnsi="Calibri" w:cs="Times New Roman"/>
    </w:rPr>
  </w:style>
  <w:style w:type="paragraph" w:styleId="EndnoteText">
    <w:name w:val="endnote text"/>
    <w:basedOn w:val="Normal"/>
    <w:link w:val="EndnoteTextChar"/>
    <w:rsid w:val="00F90767"/>
    <w:rPr>
      <w:sz w:val="20"/>
      <w:szCs w:val="20"/>
    </w:rPr>
  </w:style>
  <w:style w:type="character" w:customStyle="1" w:styleId="EndnoteTextChar">
    <w:name w:val="Endnote Text Char"/>
    <w:basedOn w:val="DefaultParagraphFont"/>
    <w:link w:val="EndnoteText"/>
    <w:rsid w:val="00F90767"/>
    <w:rPr>
      <w:rFonts w:ascii="Calibri" w:hAnsi="Calibri" w:cs="Times New Roman"/>
      <w:sz w:val="20"/>
      <w:szCs w:val="20"/>
    </w:rPr>
  </w:style>
  <w:style w:type="character" w:styleId="EndnoteReference">
    <w:name w:val="endnote reference"/>
    <w:basedOn w:val="DefaultParagraphFont"/>
    <w:rsid w:val="00F9076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toc 2" w:uiPriority="39"/>
    <w:lsdException w:name="toc 3" w:uiPriority="39"/>
  </w:latentStyles>
  <w:style w:type="paragraph" w:default="1" w:styleId="Normal">
    <w:name w:val="Normal"/>
    <w:qFormat/>
    <w:rsid w:val="002678D9"/>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8C2F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Default"/>
    <w:next w:val="Normal"/>
    <w:link w:val="Heading2Char"/>
    <w:uiPriority w:val="9"/>
    <w:unhideWhenUsed/>
    <w:qFormat/>
    <w:rsid w:val="008C2F65"/>
    <w:pPr>
      <w:spacing w:before="600"/>
      <w:outlineLvl w:val="1"/>
    </w:pPr>
    <w:rPr>
      <w:rFonts w:ascii="Palatino Linotype" w:hAnsi="Palatino Linotype" w:cs="Arial"/>
      <w:bCs/>
      <w:sz w:val="28"/>
      <w:szCs w:val="23"/>
    </w:rPr>
  </w:style>
  <w:style w:type="paragraph" w:styleId="Heading3">
    <w:name w:val="heading 3"/>
    <w:basedOn w:val="Default"/>
    <w:next w:val="Normal"/>
    <w:link w:val="Heading3Char"/>
    <w:uiPriority w:val="9"/>
    <w:unhideWhenUsed/>
    <w:qFormat/>
    <w:rsid w:val="00996C39"/>
    <w:pPr>
      <w:spacing w:before="120" w:after="120"/>
      <w:outlineLvl w:val="2"/>
    </w:pPr>
    <w:rPr>
      <w:rFonts w:asciiTheme="minorHAnsi" w:hAnsiTheme="minorHAnsi" w:cs="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678D9"/>
    <w:rPr>
      <w:rFonts w:ascii="Tahoma" w:hAnsi="Tahoma" w:cs="Tahoma"/>
      <w:sz w:val="16"/>
      <w:szCs w:val="16"/>
    </w:rPr>
  </w:style>
  <w:style w:type="character" w:customStyle="1" w:styleId="BalloonTextChar">
    <w:name w:val="Balloon Text Char"/>
    <w:basedOn w:val="DefaultParagraphFont"/>
    <w:uiPriority w:val="99"/>
    <w:semiHidden/>
    <w:rsid w:val="00386F2D"/>
    <w:rPr>
      <w:rFonts w:ascii="Lucida Grande" w:hAnsi="Lucida Grande"/>
      <w:sz w:val="18"/>
      <w:szCs w:val="18"/>
    </w:rPr>
  </w:style>
  <w:style w:type="paragraph" w:customStyle="1" w:styleId="Default">
    <w:name w:val="Default"/>
    <w:rsid w:val="002678D9"/>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rsid w:val="002678D9"/>
    <w:rPr>
      <w:sz w:val="16"/>
      <w:szCs w:val="16"/>
    </w:rPr>
  </w:style>
  <w:style w:type="paragraph" w:styleId="CommentText">
    <w:name w:val="annotation text"/>
    <w:basedOn w:val="Normal"/>
    <w:link w:val="CommentTextChar"/>
    <w:rsid w:val="002678D9"/>
    <w:rPr>
      <w:sz w:val="20"/>
      <w:szCs w:val="20"/>
    </w:rPr>
  </w:style>
  <w:style w:type="character" w:customStyle="1" w:styleId="CommentTextChar">
    <w:name w:val="Comment Text Char"/>
    <w:basedOn w:val="DefaultParagraphFont"/>
    <w:link w:val="CommentText"/>
    <w:rsid w:val="002678D9"/>
    <w:rPr>
      <w:sz w:val="20"/>
      <w:szCs w:val="20"/>
    </w:rPr>
  </w:style>
  <w:style w:type="paragraph" w:styleId="Header">
    <w:name w:val="header"/>
    <w:basedOn w:val="Normal"/>
    <w:link w:val="HeaderChar"/>
    <w:rsid w:val="002678D9"/>
    <w:pPr>
      <w:tabs>
        <w:tab w:val="center" w:pos="4680"/>
        <w:tab w:val="right" w:pos="9360"/>
      </w:tabs>
    </w:pPr>
  </w:style>
  <w:style w:type="character" w:customStyle="1" w:styleId="HeaderChar">
    <w:name w:val="Header Char"/>
    <w:basedOn w:val="DefaultParagraphFont"/>
    <w:link w:val="Header"/>
    <w:rsid w:val="002678D9"/>
  </w:style>
  <w:style w:type="paragraph" w:styleId="Footer">
    <w:name w:val="footer"/>
    <w:basedOn w:val="Normal"/>
    <w:link w:val="FooterChar"/>
    <w:uiPriority w:val="99"/>
    <w:rsid w:val="002678D9"/>
    <w:pPr>
      <w:tabs>
        <w:tab w:val="center" w:pos="4680"/>
        <w:tab w:val="right" w:pos="9360"/>
      </w:tabs>
    </w:pPr>
  </w:style>
  <w:style w:type="character" w:customStyle="1" w:styleId="FooterChar">
    <w:name w:val="Footer Char"/>
    <w:basedOn w:val="DefaultParagraphFont"/>
    <w:link w:val="Footer"/>
    <w:uiPriority w:val="99"/>
    <w:rsid w:val="002678D9"/>
  </w:style>
  <w:style w:type="character" w:customStyle="1" w:styleId="BalloonTextChar1">
    <w:name w:val="Balloon Text Char1"/>
    <w:basedOn w:val="DefaultParagraphFont"/>
    <w:link w:val="BalloonText"/>
    <w:uiPriority w:val="99"/>
    <w:semiHidden/>
    <w:rsid w:val="002678D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678D9"/>
    <w:rPr>
      <w:b/>
      <w:bCs/>
    </w:rPr>
  </w:style>
  <w:style w:type="character" w:customStyle="1" w:styleId="CommentSubjectChar">
    <w:name w:val="Comment Subject Char"/>
    <w:basedOn w:val="CommentTextChar"/>
    <w:link w:val="CommentSubject"/>
    <w:uiPriority w:val="99"/>
    <w:semiHidden/>
    <w:rsid w:val="002678D9"/>
    <w:rPr>
      <w:b/>
      <w:bCs/>
      <w:sz w:val="20"/>
      <w:szCs w:val="20"/>
    </w:rPr>
  </w:style>
  <w:style w:type="paragraph" w:styleId="ListParagraph">
    <w:name w:val="List Paragraph"/>
    <w:basedOn w:val="Normal"/>
    <w:uiPriority w:val="34"/>
    <w:qFormat/>
    <w:rsid w:val="002678D9"/>
    <w:pPr>
      <w:ind w:left="720"/>
    </w:pPr>
  </w:style>
  <w:style w:type="character" w:styleId="Hyperlink">
    <w:name w:val="Hyperlink"/>
    <w:basedOn w:val="DefaultParagraphFont"/>
    <w:uiPriority w:val="99"/>
    <w:unhideWhenUsed/>
    <w:rsid w:val="007B0F5C"/>
    <w:rPr>
      <w:color w:val="0000FF" w:themeColor="hyperlink"/>
      <w:u w:val="single"/>
    </w:rPr>
  </w:style>
  <w:style w:type="paragraph" w:styleId="FootnoteText">
    <w:name w:val="footnote text"/>
    <w:basedOn w:val="Normal"/>
    <w:link w:val="FootnoteTextChar"/>
    <w:uiPriority w:val="99"/>
    <w:semiHidden/>
    <w:rsid w:val="006341B4"/>
    <w:rPr>
      <w:rFonts w:ascii="Times New Roman" w:eastAsia="Calibri" w:hAnsi="Times New Roman"/>
      <w:sz w:val="20"/>
      <w:szCs w:val="20"/>
    </w:rPr>
  </w:style>
  <w:style w:type="character" w:customStyle="1" w:styleId="FootnoteTextChar">
    <w:name w:val="Footnote Text Char"/>
    <w:basedOn w:val="DefaultParagraphFont"/>
    <w:link w:val="FootnoteText"/>
    <w:uiPriority w:val="99"/>
    <w:semiHidden/>
    <w:rsid w:val="006341B4"/>
    <w:rPr>
      <w:rFonts w:ascii="Times New Roman" w:eastAsia="Calibri" w:hAnsi="Times New Roman" w:cs="Times New Roman"/>
      <w:sz w:val="20"/>
      <w:szCs w:val="20"/>
    </w:rPr>
  </w:style>
  <w:style w:type="character" w:styleId="FootnoteReference">
    <w:name w:val="footnote reference"/>
    <w:basedOn w:val="DefaultParagraphFont"/>
    <w:uiPriority w:val="99"/>
    <w:semiHidden/>
    <w:rsid w:val="006341B4"/>
    <w:rPr>
      <w:rFonts w:cs="Times New Roman"/>
      <w:vertAlign w:val="superscript"/>
    </w:rPr>
  </w:style>
  <w:style w:type="table" w:styleId="TableGrid">
    <w:name w:val="Table Grid"/>
    <w:basedOn w:val="TableNormal"/>
    <w:uiPriority w:val="59"/>
    <w:rsid w:val="00034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76762B"/>
    <w:pPr>
      <w:spacing w:after="200"/>
    </w:pPr>
    <w:rPr>
      <w:b/>
      <w:bCs/>
      <w:color w:val="4F81BD" w:themeColor="accent1"/>
      <w:sz w:val="18"/>
      <w:szCs w:val="18"/>
    </w:rPr>
  </w:style>
  <w:style w:type="character" w:customStyle="1" w:styleId="Heading2Char">
    <w:name w:val="Heading 2 Char"/>
    <w:basedOn w:val="DefaultParagraphFont"/>
    <w:link w:val="Heading2"/>
    <w:uiPriority w:val="9"/>
    <w:rsid w:val="008C2F65"/>
    <w:rPr>
      <w:rFonts w:ascii="Palatino Linotype" w:hAnsi="Palatino Linotype" w:cs="Arial"/>
      <w:bCs/>
      <w:color w:val="000000"/>
      <w:sz w:val="28"/>
      <w:szCs w:val="23"/>
    </w:rPr>
  </w:style>
  <w:style w:type="character" w:customStyle="1" w:styleId="Heading1Char">
    <w:name w:val="Heading 1 Char"/>
    <w:basedOn w:val="DefaultParagraphFont"/>
    <w:link w:val="Heading1"/>
    <w:uiPriority w:val="9"/>
    <w:rsid w:val="008C2F6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8C2F65"/>
    <w:pPr>
      <w:spacing w:line="276" w:lineRule="auto"/>
      <w:outlineLvl w:val="9"/>
    </w:pPr>
    <w:rPr>
      <w:lang w:eastAsia="ja-JP"/>
    </w:rPr>
  </w:style>
  <w:style w:type="paragraph" w:styleId="TOC2">
    <w:name w:val="toc 2"/>
    <w:basedOn w:val="Normal"/>
    <w:next w:val="Normal"/>
    <w:autoRedefine/>
    <w:uiPriority w:val="39"/>
    <w:unhideWhenUsed/>
    <w:rsid w:val="008C2F65"/>
    <w:pPr>
      <w:spacing w:after="100"/>
      <w:ind w:left="220"/>
    </w:pPr>
  </w:style>
  <w:style w:type="paragraph" w:customStyle="1" w:styleId="MainBodyText">
    <w:name w:val="Main Body Text"/>
    <w:basedOn w:val="Normal"/>
    <w:rsid w:val="00500E4F"/>
    <w:pPr>
      <w:spacing w:after="140"/>
    </w:pPr>
    <w:rPr>
      <w:rFonts w:ascii="Garamond" w:eastAsia="Times New Roman" w:hAnsi="Garamond"/>
      <w:color w:val="000000"/>
      <w:kern w:val="28"/>
    </w:rPr>
  </w:style>
  <w:style w:type="paragraph" w:customStyle="1" w:styleId="TextBoxBodyText">
    <w:name w:val="Text Box Body Text"/>
    <w:basedOn w:val="Normal"/>
    <w:rsid w:val="00500E4F"/>
    <w:pPr>
      <w:spacing w:after="160"/>
    </w:pPr>
    <w:rPr>
      <w:rFonts w:eastAsia="Times New Roman"/>
      <w:color w:val="000000"/>
      <w:kern w:val="28"/>
      <w:sz w:val="20"/>
      <w:szCs w:val="20"/>
    </w:rPr>
  </w:style>
  <w:style w:type="character" w:customStyle="1" w:styleId="Heading3Char">
    <w:name w:val="Heading 3 Char"/>
    <w:basedOn w:val="DefaultParagraphFont"/>
    <w:link w:val="Heading3"/>
    <w:uiPriority w:val="9"/>
    <w:rsid w:val="00996C39"/>
    <w:rPr>
      <w:rFonts w:cs="Arial"/>
      <w:b/>
      <w:bCs/>
      <w:i/>
      <w:color w:val="000000"/>
      <w:sz w:val="24"/>
      <w:szCs w:val="24"/>
    </w:rPr>
  </w:style>
  <w:style w:type="paragraph" w:styleId="TOC3">
    <w:name w:val="toc 3"/>
    <w:basedOn w:val="Normal"/>
    <w:next w:val="Normal"/>
    <w:autoRedefine/>
    <w:uiPriority w:val="39"/>
    <w:unhideWhenUsed/>
    <w:rsid w:val="00996C39"/>
    <w:pPr>
      <w:spacing w:after="100"/>
      <w:ind w:left="440"/>
    </w:pPr>
  </w:style>
  <w:style w:type="paragraph" w:styleId="Revision">
    <w:name w:val="Revision"/>
    <w:hidden/>
    <w:uiPriority w:val="99"/>
    <w:semiHidden/>
    <w:rsid w:val="00C8026C"/>
    <w:pPr>
      <w:spacing w:after="0" w:line="240" w:lineRule="auto"/>
    </w:pPr>
    <w:rPr>
      <w:rFonts w:ascii="Calibri" w:hAnsi="Calibri" w:cs="Times New Roman"/>
    </w:rPr>
  </w:style>
  <w:style w:type="paragraph" w:styleId="EndnoteText">
    <w:name w:val="endnote text"/>
    <w:basedOn w:val="Normal"/>
    <w:link w:val="EndnoteTextChar"/>
    <w:rsid w:val="00F90767"/>
    <w:rPr>
      <w:sz w:val="20"/>
      <w:szCs w:val="20"/>
    </w:rPr>
  </w:style>
  <w:style w:type="character" w:customStyle="1" w:styleId="EndnoteTextChar">
    <w:name w:val="Endnote Text Char"/>
    <w:basedOn w:val="DefaultParagraphFont"/>
    <w:link w:val="EndnoteText"/>
    <w:rsid w:val="00F90767"/>
    <w:rPr>
      <w:rFonts w:ascii="Calibri" w:hAnsi="Calibri" w:cs="Times New Roman"/>
      <w:sz w:val="20"/>
      <w:szCs w:val="20"/>
    </w:rPr>
  </w:style>
  <w:style w:type="character" w:styleId="EndnoteReference">
    <w:name w:val="endnote reference"/>
    <w:basedOn w:val="DefaultParagraphFont"/>
    <w:rsid w:val="00F907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07215">
      <w:bodyDiv w:val="1"/>
      <w:marLeft w:val="0"/>
      <w:marRight w:val="0"/>
      <w:marTop w:val="0"/>
      <w:marBottom w:val="0"/>
      <w:divBdr>
        <w:top w:val="none" w:sz="0" w:space="0" w:color="auto"/>
        <w:left w:val="none" w:sz="0" w:space="0" w:color="auto"/>
        <w:bottom w:val="none" w:sz="0" w:space="0" w:color="auto"/>
        <w:right w:val="none" w:sz="0" w:space="0" w:color="auto"/>
      </w:divBdr>
    </w:div>
    <w:div w:id="399597220">
      <w:bodyDiv w:val="1"/>
      <w:marLeft w:val="0"/>
      <w:marRight w:val="0"/>
      <w:marTop w:val="0"/>
      <w:marBottom w:val="0"/>
      <w:divBdr>
        <w:top w:val="none" w:sz="0" w:space="0" w:color="auto"/>
        <w:left w:val="none" w:sz="0" w:space="0" w:color="auto"/>
        <w:bottom w:val="none" w:sz="0" w:space="0" w:color="auto"/>
        <w:right w:val="none" w:sz="0" w:space="0" w:color="auto"/>
      </w:divBdr>
    </w:div>
    <w:div w:id="924723913">
      <w:bodyDiv w:val="1"/>
      <w:marLeft w:val="0"/>
      <w:marRight w:val="0"/>
      <w:marTop w:val="0"/>
      <w:marBottom w:val="0"/>
      <w:divBdr>
        <w:top w:val="none" w:sz="0" w:space="0" w:color="auto"/>
        <w:left w:val="none" w:sz="0" w:space="0" w:color="auto"/>
        <w:bottom w:val="none" w:sz="0" w:space="0" w:color="auto"/>
        <w:right w:val="none" w:sz="0" w:space="0" w:color="auto"/>
      </w:divBdr>
    </w:div>
    <w:div w:id="1185092465">
      <w:bodyDiv w:val="1"/>
      <w:marLeft w:val="0"/>
      <w:marRight w:val="0"/>
      <w:marTop w:val="0"/>
      <w:marBottom w:val="0"/>
      <w:divBdr>
        <w:top w:val="none" w:sz="0" w:space="0" w:color="auto"/>
        <w:left w:val="none" w:sz="0" w:space="0" w:color="auto"/>
        <w:bottom w:val="none" w:sz="0" w:space="0" w:color="auto"/>
        <w:right w:val="none" w:sz="0" w:space="0" w:color="auto"/>
      </w:divBdr>
    </w:div>
    <w:div w:id="1235319335">
      <w:bodyDiv w:val="1"/>
      <w:marLeft w:val="0"/>
      <w:marRight w:val="0"/>
      <w:marTop w:val="0"/>
      <w:marBottom w:val="0"/>
      <w:divBdr>
        <w:top w:val="none" w:sz="0" w:space="0" w:color="auto"/>
        <w:left w:val="none" w:sz="0" w:space="0" w:color="auto"/>
        <w:bottom w:val="none" w:sz="0" w:space="0" w:color="auto"/>
        <w:right w:val="none" w:sz="0" w:space="0" w:color="auto"/>
      </w:divBdr>
    </w:div>
    <w:div w:id="1428187809">
      <w:bodyDiv w:val="1"/>
      <w:marLeft w:val="0"/>
      <w:marRight w:val="0"/>
      <w:marTop w:val="0"/>
      <w:marBottom w:val="0"/>
      <w:divBdr>
        <w:top w:val="none" w:sz="0" w:space="0" w:color="auto"/>
        <w:left w:val="none" w:sz="0" w:space="0" w:color="auto"/>
        <w:bottom w:val="none" w:sz="0" w:space="0" w:color="auto"/>
        <w:right w:val="none" w:sz="0" w:space="0" w:color="auto"/>
      </w:divBdr>
    </w:div>
    <w:div w:id="1531187040">
      <w:bodyDiv w:val="1"/>
      <w:marLeft w:val="0"/>
      <w:marRight w:val="0"/>
      <w:marTop w:val="0"/>
      <w:marBottom w:val="0"/>
      <w:divBdr>
        <w:top w:val="none" w:sz="0" w:space="0" w:color="auto"/>
        <w:left w:val="none" w:sz="0" w:space="0" w:color="auto"/>
        <w:bottom w:val="none" w:sz="0" w:space="0" w:color="auto"/>
        <w:right w:val="none" w:sz="0" w:space="0" w:color="auto"/>
      </w:divBdr>
    </w:div>
    <w:div w:id="1624654678">
      <w:bodyDiv w:val="1"/>
      <w:marLeft w:val="0"/>
      <w:marRight w:val="0"/>
      <w:marTop w:val="0"/>
      <w:marBottom w:val="0"/>
      <w:divBdr>
        <w:top w:val="none" w:sz="0" w:space="0" w:color="auto"/>
        <w:left w:val="none" w:sz="0" w:space="0" w:color="auto"/>
        <w:bottom w:val="none" w:sz="0" w:space="0" w:color="auto"/>
        <w:right w:val="none" w:sz="0" w:space="0" w:color="auto"/>
      </w:divBdr>
    </w:div>
    <w:div w:id="1782144149">
      <w:bodyDiv w:val="1"/>
      <w:marLeft w:val="0"/>
      <w:marRight w:val="0"/>
      <w:marTop w:val="0"/>
      <w:marBottom w:val="0"/>
      <w:divBdr>
        <w:top w:val="none" w:sz="0" w:space="0" w:color="auto"/>
        <w:left w:val="none" w:sz="0" w:space="0" w:color="auto"/>
        <w:bottom w:val="none" w:sz="0" w:space="0" w:color="auto"/>
        <w:right w:val="none" w:sz="0" w:space="0" w:color="auto"/>
      </w:divBdr>
    </w:div>
    <w:div w:id="1967857841">
      <w:bodyDiv w:val="1"/>
      <w:marLeft w:val="0"/>
      <w:marRight w:val="0"/>
      <w:marTop w:val="0"/>
      <w:marBottom w:val="0"/>
      <w:divBdr>
        <w:top w:val="none" w:sz="0" w:space="0" w:color="auto"/>
        <w:left w:val="none" w:sz="0" w:space="0" w:color="auto"/>
        <w:bottom w:val="none" w:sz="0" w:space="0" w:color="auto"/>
        <w:right w:val="none" w:sz="0" w:space="0" w:color="auto"/>
      </w:divBdr>
    </w:div>
    <w:div w:id="20603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101F87-7625-4260-9592-CAFF3E5D5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6455</Words>
  <Characters>36794</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Carrie Sanneman</cp:lastModifiedBy>
  <cp:revision>3</cp:revision>
  <cp:lastPrinted>2013-05-15T17:57:00Z</cp:lastPrinted>
  <dcterms:created xsi:type="dcterms:W3CDTF">2013-05-23T23:44:00Z</dcterms:created>
  <dcterms:modified xsi:type="dcterms:W3CDTF">2013-05-23T23:59:00Z</dcterms:modified>
</cp:coreProperties>
</file>